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A75C8" w14:textId="77777777" w:rsidR="00C3446E" w:rsidRPr="0055111B" w:rsidRDefault="00C3446E" w:rsidP="00C3446E">
      <w:pPr>
        <w:jc w:val="center"/>
        <w:rPr>
          <w:rFonts w:asciiTheme="minorHAnsi" w:hAnsiTheme="minorHAnsi" w:cstheme="minorHAnsi"/>
          <w:b/>
          <w:bCs/>
          <w:sz w:val="22"/>
          <w:szCs w:val="22"/>
          <w:lang w:val="mk-MK"/>
        </w:rPr>
      </w:pPr>
      <w:r w:rsidRPr="0055111B">
        <w:rPr>
          <w:rFonts w:asciiTheme="minorHAnsi" w:hAnsiTheme="minorHAnsi" w:cstheme="minorHAnsi"/>
          <w:b/>
          <w:bCs/>
          <w:sz w:val="22"/>
          <w:szCs w:val="22"/>
          <w:lang w:val="mk-MK"/>
        </w:rPr>
        <w:t>КОНКУРС</w:t>
      </w:r>
    </w:p>
    <w:p w14:paraId="617560AE" w14:textId="77777777" w:rsidR="00C3446E" w:rsidRPr="0055111B" w:rsidRDefault="00C3446E" w:rsidP="00C3446E">
      <w:pPr>
        <w:jc w:val="center"/>
        <w:rPr>
          <w:rFonts w:asciiTheme="minorHAnsi" w:hAnsiTheme="minorHAnsi" w:cstheme="minorHAnsi"/>
          <w:b/>
          <w:bCs/>
          <w:sz w:val="22"/>
          <w:szCs w:val="22"/>
        </w:rPr>
      </w:pPr>
      <w:r w:rsidRPr="0055111B">
        <w:rPr>
          <w:rFonts w:asciiTheme="minorHAnsi" w:hAnsiTheme="minorHAnsi" w:cstheme="minorHAnsi"/>
          <w:b/>
          <w:bCs/>
          <w:sz w:val="22"/>
          <w:szCs w:val="22"/>
        </w:rPr>
        <w:t xml:space="preserve">ПРОГРАМА ЗА СТИПЕНДИИ НА ОКТА АД - СКОПЈЕ ЗА ВТОР ЦИКЛУС </w:t>
      </w:r>
      <w:r w:rsidRPr="0055111B">
        <w:rPr>
          <w:rFonts w:asciiTheme="minorHAnsi" w:hAnsiTheme="minorHAnsi" w:cstheme="minorHAnsi"/>
          <w:b/>
          <w:bCs/>
          <w:sz w:val="22"/>
          <w:szCs w:val="22"/>
          <w:lang w:val="mk-MK"/>
        </w:rPr>
        <w:t xml:space="preserve">НА </w:t>
      </w:r>
      <w:r w:rsidRPr="0055111B">
        <w:rPr>
          <w:rFonts w:asciiTheme="minorHAnsi" w:hAnsiTheme="minorHAnsi" w:cstheme="minorHAnsi"/>
          <w:b/>
          <w:bCs/>
          <w:sz w:val="22"/>
          <w:szCs w:val="22"/>
        </w:rPr>
        <w:t>СТУДИИ ЗА АКАДЕМСКАТА 2025-2026 ГОДИНА</w:t>
      </w:r>
    </w:p>
    <w:p w14:paraId="6F0AEA1F"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 xml:space="preserve"> </w:t>
      </w:r>
    </w:p>
    <w:p w14:paraId="10C48B38"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ОКТА АД – Скопје, членка на HELLENiQ ENERGY, во рамките на програмата за Корпоративна општествена одговорност што ја спроведува, 7- ма година по ред го објавува конкурсот за доделување стипендии за постдипломски студии на факултетите при Универзитетот Св. „Кирил и </w:t>
      </w:r>
      <w:proofErr w:type="gramStart"/>
      <w:r w:rsidRPr="0055111B">
        <w:rPr>
          <w:rFonts w:asciiTheme="minorHAnsi" w:hAnsiTheme="minorHAnsi" w:cstheme="minorHAnsi"/>
          <w:bCs/>
          <w:sz w:val="22"/>
          <w:szCs w:val="22"/>
        </w:rPr>
        <w:t>Методиј“ од</w:t>
      </w:r>
      <w:proofErr w:type="gramEnd"/>
      <w:r w:rsidRPr="0055111B">
        <w:rPr>
          <w:rFonts w:asciiTheme="minorHAnsi" w:hAnsiTheme="minorHAnsi" w:cstheme="minorHAnsi"/>
          <w:bCs/>
          <w:sz w:val="22"/>
          <w:szCs w:val="22"/>
        </w:rPr>
        <w:t xml:space="preserve"> Скопје и во странство за академската 2025/2026 година.</w:t>
      </w:r>
    </w:p>
    <w:p w14:paraId="5F1DA2C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Преку својата програма за стипендии за втор циклус на студии, ОКТА АД – Скопје, членка на HELLENiQ ENERGY континуирано и доследно ги поддржува студентите од последната година од прв циклус студии или дипломираните студенти кои се стекнале со високо образование и сакаат да го продолжат своето образование стекнувајќи дополнително знаење и специјализација во области поврзани со активноста на Компанијата.</w:t>
      </w:r>
    </w:p>
    <w:p w14:paraId="0EFBB346"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Ќе се доделат до 2 стипендии за редовни студии со максимално времетраење од две години, за стекнување на диплома за завршен втор циклус на студии. Една меѓународна стипендија за која ќе може да се аплицира на универзитети во следните земји: Грција, Германија, Италија, Белгија, Швајцарија, Норвешка, Холандија, Данска и Англија. Една за факултетите при Универзитетот Св. „Кирил и </w:t>
      </w:r>
      <w:proofErr w:type="gramStart"/>
      <w:r w:rsidRPr="0055111B">
        <w:rPr>
          <w:rFonts w:asciiTheme="minorHAnsi" w:hAnsiTheme="minorHAnsi" w:cstheme="minorHAnsi"/>
          <w:bCs/>
          <w:sz w:val="22"/>
          <w:szCs w:val="22"/>
        </w:rPr>
        <w:t>Методиј“ од</w:t>
      </w:r>
      <w:proofErr w:type="gramEnd"/>
      <w:r w:rsidRPr="0055111B">
        <w:rPr>
          <w:rFonts w:asciiTheme="minorHAnsi" w:hAnsiTheme="minorHAnsi" w:cstheme="minorHAnsi"/>
          <w:bCs/>
          <w:sz w:val="22"/>
          <w:szCs w:val="22"/>
        </w:rPr>
        <w:t xml:space="preserve"> Скопје, Република Северна Македонија во следните научни области:</w:t>
      </w:r>
    </w:p>
    <w:p w14:paraId="69193043" w14:textId="77777777" w:rsidR="00C3446E" w:rsidRPr="0055111B" w:rsidRDefault="00C3446E" w:rsidP="00C3446E">
      <w:pPr>
        <w:rPr>
          <w:rFonts w:asciiTheme="minorHAnsi" w:hAnsiTheme="minorHAnsi" w:cstheme="minorHAnsi"/>
          <w:b/>
          <w:bCs/>
          <w:sz w:val="22"/>
          <w:szCs w:val="22"/>
        </w:rPr>
      </w:pPr>
    </w:p>
    <w:p w14:paraId="065D5E26"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Градежен факултет:</w:t>
      </w:r>
    </w:p>
    <w:p w14:paraId="46F1892F"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Градежништво-Градежни конструкции</w:t>
      </w:r>
    </w:p>
    <w:p w14:paraId="3B289E73"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Градежништво-Хидраулично инженерство</w:t>
      </w:r>
    </w:p>
    <w:p w14:paraId="20537B78"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Градежна и транспортна инфраструктура</w:t>
      </w:r>
    </w:p>
    <w:p w14:paraId="3DB46E54"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Геотехничко инженерство</w:t>
      </w:r>
    </w:p>
    <w:p w14:paraId="4DF96E26" w14:textId="77777777" w:rsidR="00C3446E" w:rsidRPr="0055111B" w:rsidRDefault="00C3446E" w:rsidP="00C3446E">
      <w:pPr>
        <w:rPr>
          <w:rFonts w:asciiTheme="minorHAnsi" w:hAnsiTheme="minorHAnsi" w:cstheme="minorHAnsi"/>
          <w:bCs/>
          <w:sz w:val="22"/>
          <w:szCs w:val="22"/>
        </w:rPr>
      </w:pPr>
    </w:p>
    <w:p w14:paraId="75037547"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Факултет за електротехника и информатички технологии:</w:t>
      </w:r>
    </w:p>
    <w:p w14:paraId="20B71DF4"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Енергетски системи</w:t>
      </w:r>
    </w:p>
    <w:p w14:paraId="2C04E88B"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Електрична енергија</w:t>
      </w:r>
    </w:p>
    <w:p w14:paraId="5359DA3C"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Автоматика, роботика и системско инженерство</w:t>
      </w:r>
    </w:p>
    <w:p w14:paraId="39162369" w14:textId="77777777" w:rsidR="00C3446E" w:rsidRPr="0055111B" w:rsidRDefault="00C3446E" w:rsidP="00C3446E">
      <w:pPr>
        <w:rPr>
          <w:rFonts w:asciiTheme="minorHAnsi" w:hAnsiTheme="minorHAnsi" w:cstheme="minorHAnsi"/>
          <w:b/>
          <w:bCs/>
          <w:sz w:val="22"/>
          <w:szCs w:val="22"/>
        </w:rPr>
      </w:pPr>
    </w:p>
    <w:p w14:paraId="21595767"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Машински факултет:</w:t>
      </w:r>
    </w:p>
    <w:p w14:paraId="7B7ABF3D"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Индустриско инженерство и менаџмент</w:t>
      </w:r>
    </w:p>
    <w:p w14:paraId="2F078989"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Управување со системи за безбедност и здравје при работа</w:t>
      </w:r>
    </w:p>
    <w:p w14:paraId="4F3428B5"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Енергија и екологија</w:t>
      </w:r>
    </w:p>
    <w:p w14:paraId="1F0A7CBA"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Автоматизација и инженерство на флуиди</w:t>
      </w:r>
    </w:p>
    <w:p w14:paraId="705F9E4B"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Одржлива енергија и животна средина</w:t>
      </w:r>
    </w:p>
    <w:p w14:paraId="1F48A254"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Материјали, заварување и структурно инженерство</w:t>
      </w:r>
    </w:p>
    <w:p w14:paraId="40882664"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Механика и машински системи</w:t>
      </w:r>
    </w:p>
    <w:p w14:paraId="423594CF"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Менаџмент и контрола на квалитет</w:t>
      </w:r>
    </w:p>
    <w:p w14:paraId="1C9A91CF" w14:textId="77777777" w:rsidR="00C3446E" w:rsidRPr="0055111B" w:rsidRDefault="00C3446E" w:rsidP="00C3446E">
      <w:pPr>
        <w:rPr>
          <w:rFonts w:asciiTheme="minorHAnsi" w:hAnsiTheme="minorHAnsi" w:cstheme="minorHAnsi"/>
          <w:b/>
          <w:bCs/>
          <w:sz w:val="22"/>
          <w:szCs w:val="22"/>
        </w:rPr>
      </w:pPr>
    </w:p>
    <w:p w14:paraId="70D8660C"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Технолошко-металуршки факултет:</w:t>
      </w:r>
    </w:p>
    <w:p w14:paraId="38CFCEE0"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lastRenderedPageBreak/>
        <w:t>Дизајн и менаџмент на технолошки процеси-</w:t>
      </w:r>
    </w:p>
    <w:p w14:paraId="17402C3D"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Менаџмент на квалитет</w:t>
      </w:r>
    </w:p>
    <w:p w14:paraId="13EDD0D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Металургија и метални материјали</w:t>
      </w:r>
    </w:p>
    <w:p w14:paraId="25728AAC"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Инженерство на животна средина</w:t>
      </w:r>
    </w:p>
    <w:p w14:paraId="363EC0E7"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 xml:space="preserve"> </w:t>
      </w:r>
    </w:p>
    <w:p w14:paraId="207B1E49" w14:textId="77777777" w:rsidR="00C3446E" w:rsidRPr="0055111B" w:rsidRDefault="00C3446E" w:rsidP="00C3446E">
      <w:pPr>
        <w:rPr>
          <w:rFonts w:asciiTheme="minorHAnsi" w:hAnsiTheme="minorHAnsi" w:cstheme="minorHAnsi"/>
          <w:b/>
          <w:bCs/>
          <w:sz w:val="22"/>
          <w:szCs w:val="22"/>
        </w:rPr>
      </w:pPr>
    </w:p>
    <w:p w14:paraId="2E458B1F" w14:textId="77777777" w:rsidR="00C3446E" w:rsidRPr="0055111B" w:rsidRDefault="00C3446E" w:rsidP="00C3446E">
      <w:pPr>
        <w:rPr>
          <w:rFonts w:asciiTheme="minorHAnsi" w:hAnsiTheme="minorHAnsi" w:cstheme="minorHAnsi"/>
          <w:b/>
          <w:bCs/>
          <w:sz w:val="22"/>
          <w:szCs w:val="22"/>
        </w:rPr>
      </w:pPr>
    </w:p>
    <w:p w14:paraId="3CF6EB5F" w14:textId="77777777" w:rsidR="00C3446E" w:rsidRPr="0055111B" w:rsidRDefault="00C3446E" w:rsidP="00C3446E">
      <w:pPr>
        <w:rPr>
          <w:rFonts w:asciiTheme="minorHAnsi" w:hAnsiTheme="minorHAnsi" w:cstheme="minorHAnsi"/>
          <w:b/>
          <w:bCs/>
          <w:sz w:val="22"/>
          <w:szCs w:val="22"/>
        </w:rPr>
      </w:pPr>
    </w:p>
    <w:p w14:paraId="67B05D72"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ОПШТИ БАРАЊА</w:t>
      </w:r>
    </w:p>
    <w:p w14:paraId="73FDD89F"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Кандидатите мора да ги исполнуваат следните барања:</w:t>
      </w:r>
    </w:p>
    <w:p w14:paraId="6C6C2F6A" w14:textId="77777777" w:rsidR="00C3446E" w:rsidRPr="0055111B" w:rsidRDefault="00C3446E" w:rsidP="00C3446E">
      <w:pPr>
        <w:rPr>
          <w:rFonts w:asciiTheme="minorHAnsi" w:hAnsiTheme="minorHAnsi" w:cstheme="minorHAnsi"/>
          <w:bCs/>
          <w:sz w:val="22"/>
          <w:szCs w:val="22"/>
        </w:rPr>
      </w:pPr>
    </w:p>
    <w:p w14:paraId="0D63E5D4"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1. Мора да </w:t>
      </w:r>
      <w:proofErr w:type="gramStart"/>
      <w:r w:rsidRPr="0055111B">
        <w:rPr>
          <w:rFonts w:asciiTheme="minorHAnsi" w:hAnsiTheme="minorHAnsi" w:cstheme="minorHAnsi"/>
          <w:bCs/>
          <w:sz w:val="22"/>
          <w:szCs w:val="22"/>
        </w:rPr>
        <w:t>бидат  државјани</w:t>
      </w:r>
      <w:proofErr w:type="gramEnd"/>
      <w:r w:rsidRPr="0055111B">
        <w:rPr>
          <w:rFonts w:asciiTheme="minorHAnsi" w:hAnsiTheme="minorHAnsi" w:cstheme="minorHAnsi"/>
          <w:bCs/>
          <w:sz w:val="22"/>
          <w:szCs w:val="22"/>
        </w:rPr>
        <w:t xml:space="preserve"> на Република Северна Македонија по националност и раѓање.</w:t>
      </w:r>
    </w:p>
    <w:p w14:paraId="4C74B448"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2. Нивната возраст не треба да надминува 30 години (мора да се родени по 31.12.1994)</w:t>
      </w:r>
    </w:p>
    <w:p w14:paraId="343505D3"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Кандидатите со докажано професионално искуство поврзано со студиските предмети може да аплицираат за стипендијата, но не треба да се постари од 32 години (мора да се родени по 31.12.1992).</w:t>
      </w:r>
    </w:p>
    <w:p w14:paraId="712D370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3. Мора да имаат диплома за завршен прв циклус на студии од факултетите при Универзитетот Св. „Кирил и </w:t>
      </w:r>
      <w:proofErr w:type="gramStart"/>
      <w:r w:rsidRPr="0055111B">
        <w:rPr>
          <w:rFonts w:asciiTheme="minorHAnsi" w:hAnsiTheme="minorHAnsi" w:cstheme="minorHAnsi"/>
          <w:bCs/>
          <w:sz w:val="22"/>
          <w:szCs w:val="22"/>
        </w:rPr>
        <w:t>Методиј“ во</w:t>
      </w:r>
      <w:proofErr w:type="gramEnd"/>
      <w:r w:rsidRPr="0055111B">
        <w:rPr>
          <w:rFonts w:asciiTheme="minorHAnsi" w:hAnsiTheme="minorHAnsi" w:cstheme="minorHAnsi"/>
          <w:bCs/>
          <w:sz w:val="22"/>
          <w:szCs w:val="22"/>
        </w:rPr>
        <w:t xml:space="preserve"> Скопје.</w:t>
      </w:r>
    </w:p>
    <w:p w14:paraId="6EA61842"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4. Мора да имаат диплома од УКИМ со просечна оценка8/10</w:t>
      </w:r>
    </w:p>
    <w:p w14:paraId="74FD85B3"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5. Секој кандидат кој не го постигнал горенаведениот успех може да аплицира, но просечната оценка на кандидатот треба да биде во рамката на 10% од најдобрите студенти во годината на дипломирање.</w:t>
      </w:r>
    </w:p>
    <w:p w14:paraId="3CFF0942"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6. Кандидатите мора да имаат писмена понуда од факултетот за постдипломски студии што имаат намера да ги следат или веќе се запишани на истите. Исто така, може да се пријават и оние студенти кои веќе посетуваат / ја имаат завршено првата година од двегодишната постдипломска студиска програма и имаат постигнато висок просек на испитите од 1-ва година.</w:t>
      </w:r>
    </w:p>
    <w:p w14:paraId="1F12EBBD"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7.  Сите пријави од вработени во Компанијата, како и нивните роднини од прв степен, нема да бидат прифатени.</w:t>
      </w:r>
    </w:p>
    <w:p w14:paraId="33EA856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8. Стипендиите се доделуваат само за редовни студии. Пријавите за вонредни студии или онлајн студии нема да бидат прифатени.</w:t>
      </w:r>
    </w:p>
    <w:p w14:paraId="470DA9A6"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9. Датумот на почеток на користење на стипендијата се одредува според официјалниот датум на започнување на соодветната студиска програма. Стипендиите не се доделуваат ретроактивно.</w:t>
      </w:r>
    </w:p>
    <w:p w14:paraId="7232133A" w14:textId="77777777" w:rsidR="00C3446E" w:rsidRPr="0055111B" w:rsidRDefault="00C3446E" w:rsidP="00C3446E">
      <w:pPr>
        <w:rPr>
          <w:rFonts w:asciiTheme="minorHAnsi" w:hAnsiTheme="minorHAnsi" w:cstheme="minorHAnsi"/>
          <w:bCs/>
          <w:sz w:val="22"/>
          <w:szCs w:val="22"/>
        </w:rPr>
      </w:pPr>
    </w:p>
    <w:p w14:paraId="061894A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Крајниот рок за поднесување на апликациите е 18 мај, 2025, без можност за продолжување на истиот. Сите апликации може да се пратат само електронски на следниот линк:  </w:t>
      </w:r>
      <w:hyperlink r:id="rId12" w:history="1">
        <w:r w:rsidRPr="0055111B">
          <w:rPr>
            <w:rStyle w:val="Hyperlink"/>
            <w:rFonts w:asciiTheme="minorHAnsi" w:hAnsiTheme="minorHAnsi" w:cstheme="minorHAnsi"/>
            <w:bCs/>
            <w:sz w:val="22"/>
            <w:szCs w:val="22"/>
          </w:rPr>
          <w:t>https://scholarships.helleniqenergy.gr/rnm</w:t>
        </w:r>
      </w:hyperlink>
      <w:r w:rsidRPr="0055111B">
        <w:rPr>
          <w:rFonts w:asciiTheme="minorHAnsi" w:hAnsiTheme="minorHAnsi" w:cstheme="minorHAnsi"/>
          <w:bCs/>
          <w:sz w:val="22"/>
          <w:szCs w:val="22"/>
        </w:rPr>
        <w:t>.</w:t>
      </w:r>
    </w:p>
    <w:p w14:paraId="780C8D62" w14:textId="77777777" w:rsidR="00C3446E" w:rsidRPr="0055111B" w:rsidRDefault="00C3446E" w:rsidP="00C3446E">
      <w:pPr>
        <w:rPr>
          <w:rFonts w:asciiTheme="minorHAnsi" w:hAnsiTheme="minorHAnsi" w:cstheme="minorHAnsi"/>
          <w:bCs/>
          <w:sz w:val="22"/>
          <w:szCs w:val="22"/>
        </w:rPr>
      </w:pPr>
    </w:p>
    <w:p w14:paraId="1498CEF5" w14:textId="77777777" w:rsidR="00C3446E" w:rsidRPr="0055111B" w:rsidRDefault="00C3446E" w:rsidP="00C3446E">
      <w:pPr>
        <w:rPr>
          <w:rFonts w:asciiTheme="minorHAnsi" w:hAnsiTheme="minorHAnsi" w:cstheme="minorHAnsi"/>
          <w:b/>
          <w:bCs/>
          <w:sz w:val="22"/>
          <w:szCs w:val="22"/>
        </w:rPr>
      </w:pPr>
    </w:p>
    <w:p w14:paraId="45484546"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ПОТРЕБНА ДОКУМЕНТАЦИЈА</w:t>
      </w:r>
    </w:p>
    <w:p w14:paraId="00967815"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Се повикуваат кандидатите да ги достават пријавите и следните дополнителни документи само по електронски пат на </w:t>
      </w:r>
      <w:hyperlink r:id="rId13" w:history="1">
        <w:r w:rsidRPr="0055111B">
          <w:rPr>
            <w:rStyle w:val="Hyperlink"/>
            <w:rFonts w:asciiTheme="minorHAnsi" w:hAnsiTheme="minorHAnsi" w:cstheme="minorHAnsi"/>
            <w:bCs/>
            <w:sz w:val="22"/>
            <w:szCs w:val="22"/>
          </w:rPr>
          <w:t>https://scholarships.helleniqenergy.gr/rnm</w:t>
        </w:r>
      </w:hyperlink>
      <w:r w:rsidRPr="0055111B">
        <w:rPr>
          <w:rFonts w:asciiTheme="minorHAnsi" w:hAnsiTheme="minorHAnsi" w:cstheme="minorHAnsi"/>
          <w:bCs/>
          <w:sz w:val="22"/>
          <w:szCs w:val="22"/>
        </w:rPr>
        <w:t>.</w:t>
      </w:r>
    </w:p>
    <w:p w14:paraId="27897574" w14:textId="77777777" w:rsidR="00C3446E" w:rsidRPr="0055111B" w:rsidRDefault="00C3446E" w:rsidP="00C3446E">
      <w:pPr>
        <w:rPr>
          <w:rFonts w:asciiTheme="minorHAnsi" w:hAnsiTheme="minorHAnsi" w:cstheme="minorHAnsi"/>
          <w:bCs/>
          <w:sz w:val="22"/>
          <w:szCs w:val="22"/>
        </w:rPr>
      </w:pPr>
    </w:p>
    <w:p w14:paraId="5F6BA2FB"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Најнова фотографија од кандидатот.</w:t>
      </w:r>
    </w:p>
    <w:p w14:paraId="3F58533C"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 xml:space="preserve">Фотокопија од лична карта или пасош. </w:t>
      </w:r>
    </w:p>
    <w:p w14:paraId="3A7DF113"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lastRenderedPageBreak/>
        <w:t>Копија од диплома/диплома со завршна забелешка и потврда за детални оценки за сите години или потврда за детални оценки со просечна оценка до датумот на пријавување, која мора да биде најмалку 8/10.</w:t>
      </w:r>
    </w:p>
    <w:p w14:paraId="0C963C4C"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За апликантите кои не ги исполнуваат критериумите за просекот споменати во ОПШТИТЕ БАРАЊА, потребна е потврда од секретаријатот на факултетот дека нивната просечната оценка е во рамката на 10% од најдобрите студенти во годината на дипломирање.</w:t>
      </w:r>
    </w:p>
    <w:p w14:paraId="7A93F3A4"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Кандидатите кои аплицираат за стипендија за втора година од нивните постдипломски студии се должни да испратат потврда за детални оценки за сите испити од 1-ва година на нивните студии.</w:t>
      </w:r>
    </w:p>
    <w:p w14:paraId="18F6D816"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Уверение за упис или писмо за прифаќање на постдипломска студиска програма или копија од кореспонденцијата на кандидатот за стипендија со универзитетот со која се докажува дека нивната апликација е завршена.</w:t>
      </w:r>
    </w:p>
    <w:p w14:paraId="50CC810F"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Официјален документ (на пр. извадок од регулативата за студии) во кој се наведува програмата, времетраењето (почетокот и, ако е можно, датумите на завршување) и трошоците за школарина на планираните студии.</w:t>
      </w:r>
    </w:p>
    <w:p w14:paraId="507FF7B6"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Писма со препораки од професори на универзитетот каде што кандидатите ги завршиле студиите. Овие писма мора да бидат соодветно потпишани. Уверение за претходно работно искуство на кандидатот, под услов таквото претходно работно искуство да е дефинирано како услов за негово прифаќање на универзитетот каде што има намера да студира или нивната возраст надминува 30 години и нивното претходно работно искуство е релевантно за постдипломската студиска програма за која аплицира за стипендија.</w:t>
      </w:r>
    </w:p>
    <w:p w14:paraId="584EE419"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rPr>
        <w:t>Детално и ажурирано CV на локален јазик. Сите стипендии, награди и познавања на странски јазици кои може да се споменат во CV-то мора да бидат потврдени со официјални документи.</w:t>
      </w:r>
    </w:p>
    <w:p w14:paraId="65916AE5" w14:textId="77777777" w:rsidR="00C3446E" w:rsidRPr="0055111B" w:rsidRDefault="00C3446E" w:rsidP="00C3446E">
      <w:pPr>
        <w:pStyle w:val="ListParagraph"/>
        <w:numPr>
          <w:ilvl w:val="0"/>
          <w:numId w:val="13"/>
        </w:numPr>
        <w:spacing w:line="250" w:lineRule="atLeast"/>
        <w:rPr>
          <w:rFonts w:asciiTheme="minorHAnsi" w:hAnsiTheme="minorHAnsi" w:cstheme="minorHAnsi"/>
          <w:bCs/>
          <w:sz w:val="22"/>
          <w:szCs w:val="22"/>
        </w:rPr>
      </w:pPr>
      <w:r w:rsidRPr="0055111B">
        <w:rPr>
          <w:rFonts w:asciiTheme="minorHAnsi" w:hAnsiTheme="minorHAnsi" w:cstheme="minorHAnsi"/>
          <w:bCs/>
          <w:sz w:val="22"/>
          <w:szCs w:val="22"/>
          <w:lang w:val="mk-MK"/>
        </w:rPr>
        <w:t xml:space="preserve">По сопствено убедување, може да се сподели детаљ од личната состојба кој сметате дека Комисијата за евалуација треба да го знае како на пр. Дека сте невработени, имате некаква попреченост, сте член на големо семејство, како и да пратите документ како доказ за истото. </w:t>
      </w:r>
    </w:p>
    <w:p w14:paraId="16BECEE7"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 xml:space="preserve"> </w:t>
      </w:r>
    </w:p>
    <w:p w14:paraId="31142320"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ПОСТAПКА ЗА АПЛИЦИРАЊЕ</w:t>
      </w:r>
    </w:p>
    <w:p w14:paraId="6C9446BC"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Кандидатите мора да ја пратат апликацијата на онлајн платформата која може да се најде на следниот линк: https://scholarships.helleniqenergy.gr најдоцна до 18 мај 2025. </w:t>
      </w:r>
    </w:p>
    <w:p w14:paraId="0F6A7869" w14:textId="77777777" w:rsidR="00C3446E" w:rsidRPr="0055111B" w:rsidRDefault="00C3446E" w:rsidP="00C3446E">
      <w:pPr>
        <w:rPr>
          <w:rFonts w:asciiTheme="minorHAnsi" w:hAnsiTheme="minorHAnsi" w:cstheme="minorHAnsi"/>
          <w:bCs/>
          <w:sz w:val="22"/>
          <w:szCs w:val="22"/>
        </w:rPr>
      </w:pPr>
    </w:p>
    <w:p w14:paraId="029A0D05"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Сите дополнителни документи може да се испратат по електронски пат на scholarships@helleniq.gr, наведувајќи го во насловот соодветниот број на протокол на кандидатите, кој тие ќе го добијат електронски веднаш по поднесувањето на нивната апликација.</w:t>
      </w:r>
    </w:p>
    <w:p w14:paraId="6AF2271F" w14:textId="77777777" w:rsidR="00C3446E" w:rsidRPr="0055111B" w:rsidRDefault="00C3446E" w:rsidP="00C3446E">
      <w:pPr>
        <w:rPr>
          <w:rFonts w:asciiTheme="minorHAnsi" w:hAnsiTheme="minorHAnsi" w:cstheme="minorHAnsi"/>
          <w:bCs/>
          <w:sz w:val="22"/>
          <w:szCs w:val="22"/>
        </w:rPr>
      </w:pPr>
    </w:p>
    <w:p w14:paraId="66D3B3D7"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Кандидатите можат да аплицираат само за една од одредените студиски програми на некој од следните факултети (Градежен факултет, Факултет за електротехника и информатички технологии, Машински факултет, Технолошко-металуршки </w:t>
      </w:r>
      <w:proofErr w:type="gramStart"/>
      <w:r w:rsidRPr="0055111B">
        <w:rPr>
          <w:rFonts w:asciiTheme="minorHAnsi" w:hAnsiTheme="minorHAnsi" w:cstheme="minorHAnsi"/>
          <w:bCs/>
          <w:sz w:val="22"/>
          <w:szCs w:val="22"/>
        </w:rPr>
        <w:t>факултет)  за</w:t>
      </w:r>
      <w:proofErr w:type="gramEnd"/>
      <w:r w:rsidRPr="0055111B">
        <w:rPr>
          <w:rFonts w:asciiTheme="minorHAnsi" w:hAnsiTheme="minorHAnsi" w:cstheme="minorHAnsi"/>
          <w:bCs/>
          <w:sz w:val="22"/>
          <w:szCs w:val="22"/>
        </w:rPr>
        <w:t xml:space="preserve"> стипендија во Република Северна Македонија или на некој од универзитетите кои ги покриваат овие научни области во: Грција, Германија, Италија, Белгија, Швајцарија, Норвешка, Холандија, Данска и Англија.</w:t>
      </w:r>
    </w:p>
    <w:p w14:paraId="62A73F4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lastRenderedPageBreak/>
        <w:t>Испраќањето на апликацијата не значи нејзино прифаќање. Во постапката за евалуација ќе бидат вклучени само апликациите кои ги исполнуваат сите услови од овој конкурс.</w:t>
      </w:r>
    </w:p>
    <w:p w14:paraId="45348B5F"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 xml:space="preserve"> </w:t>
      </w:r>
    </w:p>
    <w:p w14:paraId="0BD394E8"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ПРОЦЕДУРА ЗА ЕВАЛУАЦИЈА</w:t>
      </w:r>
    </w:p>
    <w:p w14:paraId="4F043024"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Комисијата за евалуација, кој се состои од менаџери на компанијата, ќе ги покани, по свое убедување, создадена врз основа на критериумите на конкурсот, кандидатите на онлајн интервју; потоа ќе ги избере најуспешните и ќе му го достави конечниот список со предложени стипендисти на Менаџментот.</w:t>
      </w:r>
    </w:p>
    <w:p w14:paraId="6EB7C731"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Менаџментот на компанијатаќе одлучи по свое убедување за изборот на стипендистите и бројот на стипендии што ќе се доделат во секоја научна област, во зависност од квалификациите, разликите и потребата за финансиска поддршка на кандидатите. Одлуките на менаџментот не подлежат на приговори или жалби.</w:t>
      </w:r>
    </w:p>
    <w:p w14:paraId="6C986988" w14:textId="3F0C71B4" w:rsidR="00FD17BA"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Резултатите од евалуацијата </w:t>
      </w:r>
      <w:r w:rsidR="00FD17BA" w:rsidRPr="0055111B">
        <w:rPr>
          <w:rFonts w:asciiTheme="minorHAnsi" w:hAnsiTheme="minorHAnsi" w:cstheme="minorHAnsi"/>
          <w:bCs/>
          <w:sz w:val="22"/>
          <w:szCs w:val="22"/>
        </w:rPr>
        <w:t xml:space="preserve">ќе </w:t>
      </w:r>
      <w:r w:rsidR="00FD17BA" w:rsidRPr="0055111B">
        <w:rPr>
          <w:rFonts w:asciiTheme="minorHAnsi" w:hAnsiTheme="minorHAnsi" w:cstheme="minorHAnsi"/>
          <w:bCs/>
          <w:sz w:val="22"/>
          <w:szCs w:val="22"/>
          <w:lang w:val="mk-MK"/>
        </w:rPr>
        <w:t>бидат објавени</w:t>
      </w:r>
      <w:r w:rsidR="00FD17BA" w:rsidRPr="0055111B">
        <w:rPr>
          <w:rFonts w:asciiTheme="minorHAnsi" w:hAnsiTheme="minorHAnsi" w:cstheme="minorHAnsi"/>
          <w:bCs/>
          <w:sz w:val="22"/>
          <w:szCs w:val="22"/>
        </w:rPr>
        <w:t xml:space="preserve"> на </w:t>
      </w:r>
      <w:hyperlink r:id="rId14" w:history="1">
        <w:r w:rsidR="00FD17BA" w:rsidRPr="0055111B">
          <w:rPr>
            <w:rStyle w:val="Hyperlink"/>
            <w:rFonts w:asciiTheme="minorHAnsi" w:hAnsiTheme="minorHAnsi" w:cstheme="minorHAnsi"/>
            <w:bCs/>
            <w:sz w:val="22"/>
            <w:szCs w:val="22"/>
          </w:rPr>
          <w:t>https://scholarships.helleniqenergy.gr/rnm</w:t>
        </w:r>
      </w:hyperlink>
    </w:p>
    <w:p w14:paraId="09A3671D" w14:textId="5B72D729" w:rsidR="00C3446E" w:rsidRPr="0055111B" w:rsidRDefault="00FD17BA" w:rsidP="00C3446E">
      <w:pPr>
        <w:rPr>
          <w:rFonts w:asciiTheme="minorHAnsi" w:hAnsiTheme="minorHAnsi" w:cstheme="minorHAnsi"/>
          <w:bCs/>
          <w:sz w:val="22"/>
          <w:szCs w:val="22"/>
          <w:lang w:val="mk-MK"/>
        </w:rPr>
      </w:pPr>
      <w:r w:rsidRPr="0055111B">
        <w:rPr>
          <w:rFonts w:asciiTheme="minorHAnsi" w:hAnsiTheme="minorHAnsi" w:cstheme="minorHAnsi"/>
          <w:bCs/>
          <w:sz w:val="22"/>
          <w:szCs w:val="22"/>
        </w:rPr>
        <w:t xml:space="preserve">и на </w:t>
      </w:r>
      <w:hyperlink r:id="rId15" w:history="1">
        <w:r w:rsidRPr="0055111B">
          <w:rPr>
            <w:rStyle w:val="Hyperlink"/>
            <w:rFonts w:asciiTheme="minorHAnsi" w:hAnsiTheme="minorHAnsi" w:cstheme="minorHAnsi"/>
            <w:bCs/>
            <w:sz w:val="22"/>
            <w:szCs w:val="22"/>
          </w:rPr>
          <w:t>www.helleniqenergy.gr</w:t>
        </w:r>
      </w:hyperlink>
      <w:r w:rsidRPr="0055111B">
        <w:rPr>
          <w:rFonts w:asciiTheme="minorHAnsi" w:hAnsiTheme="minorHAnsi" w:cstheme="minorHAnsi"/>
          <w:bCs/>
          <w:sz w:val="22"/>
          <w:szCs w:val="22"/>
          <w:lang w:val="mk-MK"/>
        </w:rPr>
        <w:t xml:space="preserve"> за интернационалната стипендија во август, а за националната стипендија ќе бидат објавени до крајот на октомври. </w:t>
      </w:r>
    </w:p>
    <w:p w14:paraId="5CB77FA0"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Cs/>
          <w:sz w:val="22"/>
          <w:szCs w:val="22"/>
          <w:lang w:val="mk-MK"/>
        </w:rPr>
        <w:t>Секој кандидат ќе биде известен за резултатите преку електронска пошта.</w:t>
      </w:r>
    </w:p>
    <w:p w14:paraId="06A810E5" w14:textId="77777777" w:rsidR="00C3446E" w:rsidRPr="0055111B" w:rsidRDefault="00C3446E" w:rsidP="00C3446E">
      <w:pPr>
        <w:rPr>
          <w:rFonts w:asciiTheme="minorHAnsi" w:hAnsiTheme="minorHAnsi" w:cstheme="minorHAnsi"/>
          <w:b/>
          <w:bCs/>
          <w:sz w:val="22"/>
          <w:szCs w:val="22"/>
        </w:rPr>
      </w:pPr>
    </w:p>
    <w:p w14:paraId="789CC6A7" w14:textId="77777777" w:rsidR="00C3446E" w:rsidRPr="0055111B" w:rsidRDefault="00C3446E" w:rsidP="00C3446E">
      <w:pPr>
        <w:rPr>
          <w:rFonts w:asciiTheme="minorHAnsi" w:hAnsiTheme="minorHAnsi" w:cstheme="minorHAnsi"/>
          <w:b/>
          <w:bCs/>
          <w:sz w:val="22"/>
          <w:szCs w:val="22"/>
        </w:rPr>
      </w:pPr>
    </w:p>
    <w:p w14:paraId="317DEDFA" w14:textId="77777777" w:rsidR="00C3446E" w:rsidRPr="0055111B" w:rsidRDefault="00C3446E" w:rsidP="00C3446E">
      <w:pPr>
        <w:rPr>
          <w:rFonts w:asciiTheme="minorHAnsi" w:hAnsiTheme="minorHAnsi" w:cstheme="minorHAnsi"/>
          <w:b/>
          <w:bCs/>
          <w:sz w:val="22"/>
          <w:szCs w:val="22"/>
        </w:rPr>
      </w:pPr>
    </w:p>
    <w:p w14:paraId="471F6CA8"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ФИНАЛНА ФАЗА ЗА ДОДЕЛУВАЊЕ НА СТИПЕНДИИТЕ</w:t>
      </w:r>
    </w:p>
    <w:p w14:paraId="1B9844E5"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Процесот на доделување на стипендиите завршува со потпишување на договорот за доделување на стипендијата.</w:t>
      </w:r>
    </w:p>
    <w:p w14:paraId="3B97D331"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По објавувањето на резултатите за стипендијата, стипендистот нема право да ја менува наставната програма за која аплицирал, освен по основ на виша сила, кој Комисијата за евалуација и менаџментот на компанијата ќе го оцени како издржан. </w:t>
      </w:r>
    </w:p>
    <w:p w14:paraId="4A8DDC03"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 xml:space="preserve"> </w:t>
      </w:r>
    </w:p>
    <w:p w14:paraId="3F3E376E"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ВРЕМЕТРАЕЊЕ НА СТИПЕНДИЈАТА</w:t>
      </w:r>
    </w:p>
    <w:p w14:paraId="50E156B8"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Датумот за почеток на користење на стипендијата е дефиниран врз основа на официјалниот датум на почеток на студиите.</w:t>
      </w:r>
    </w:p>
    <w:p w14:paraId="6FC8AFED"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Вкупното времетраење на стипендијата не може да го надмине минималното времетраење на студиите определено со наставната програма на која кандидатот е примен. Максималното времетраење на стипендијата е определено на две години, без можност за продолжување.</w:t>
      </w:r>
    </w:p>
    <w:p w14:paraId="01120433"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Доделувањето на стипендијата може да биде суспендирано по барање на стипендистот, за период помал од 9 месеци, доколку постојат сериозни основи.</w:t>
      </w:r>
    </w:p>
    <w:p w14:paraId="2B37B7A0"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Менаџментот на ОКТА АД - Скопје ќе одлучи, по свое убедување, да ја отповика или дури и трајно да ја откаже стипендијата, во случај на незавршување или прекинување на студиите од страна на стипендистот или во случај кога раководството на компанијата има сериозни основи за тоа (еволуција на студии, морални квалитети на стипендист и сл.).</w:t>
      </w:r>
    </w:p>
    <w:p w14:paraId="138C3737"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 xml:space="preserve"> </w:t>
      </w:r>
    </w:p>
    <w:p w14:paraId="052EFFE7" w14:textId="77777777" w:rsidR="00C3446E" w:rsidRPr="0055111B" w:rsidRDefault="00C3446E" w:rsidP="00C3446E">
      <w:pPr>
        <w:rPr>
          <w:rFonts w:asciiTheme="minorHAnsi" w:hAnsiTheme="minorHAnsi" w:cstheme="minorHAnsi"/>
          <w:b/>
          <w:bCs/>
          <w:sz w:val="22"/>
          <w:szCs w:val="22"/>
        </w:rPr>
      </w:pPr>
      <w:r w:rsidRPr="0055111B">
        <w:rPr>
          <w:rFonts w:asciiTheme="minorHAnsi" w:hAnsiTheme="minorHAnsi" w:cstheme="minorHAnsi"/>
          <w:b/>
          <w:bCs/>
          <w:sz w:val="22"/>
          <w:szCs w:val="22"/>
        </w:rPr>
        <w:t>ВИСИНА НА СТИПЕНДИЈАТА И ИСПЛАТА</w:t>
      </w:r>
    </w:p>
    <w:p w14:paraId="771C049D"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Стипендиите ја покриваат школарината за 2 стипендии, во вкупен износ од седум илјади евра. Националната стипендија во вкупен износ до две илјади евра и интернационалната стипендија во вкупен износ до пет илјади евра.</w:t>
      </w:r>
    </w:p>
    <w:p w14:paraId="08E9EC5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Овој износ е највисокиот износ кој може да се исплати.</w:t>
      </w:r>
    </w:p>
    <w:p w14:paraId="111D8E9E" w14:textId="77777777" w:rsidR="00C3446E" w:rsidRPr="0055111B" w:rsidRDefault="00C3446E" w:rsidP="00C3446E">
      <w:pPr>
        <w:rPr>
          <w:rFonts w:asciiTheme="minorHAnsi" w:hAnsiTheme="minorHAnsi" w:cstheme="minorHAnsi"/>
          <w:bCs/>
          <w:sz w:val="22"/>
          <w:szCs w:val="22"/>
        </w:rPr>
      </w:pPr>
      <w:r w:rsidRPr="0055111B">
        <w:rPr>
          <w:rFonts w:asciiTheme="minorHAnsi" w:hAnsiTheme="minorHAnsi" w:cstheme="minorHAnsi"/>
          <w:bCs/>
          <w:sz w:val="22"/>
          <w:szCs w:val="22"/>
        </w:rPr>
        <w:t xml:space="preserve">Времетраењето на студиите не може да биде помалку од 9 месеци. Пресметката за времетраењето на стипендијата се основа на најкраткото време, кое е дефинирано врз основа на студиските регулативи за одредената година и типот на студии. </w:t>
      </w:r>
    </w:p>
    <w:p w14:paraId="35F50D47" w14:textId="77777777" w:rsidR="00C3446E" w:rsidRPr="0055111B" w:rsidRDefault="00C3446E" w:rsidP="00C3446E">
      <w:pPr>
        <w:rPr>
          <w:rFonts w:asciiTheme="minorHAnsi" w:hAnsiTheme="minorHAnsi" w:cstheme="minorHAnsi"/>
          <w:sz w:val="22"/>
          <w:szCs w:val="22"/>
        </w:rPr>
      </w:pPr>
    </w:p>
    <w:p w14:paraId="150B3A62" w14:textId="77777777" w:rsidR="00C3446E" w:rsidRPr="0055111B" w:rsidRDefault="00C3446E" w:rsidP="00C3446E">
      <w:pPr>
        <w:rPr>
          <w:rFonts w:asciiTheme="minorHAnsi" w:hAnsiTheme="minorHAnsi" w:cstheme="minorHAnsi"/>
          <w:b/>
          <w:bCs/>
          <w:sz w:val="22"/>
          <w:szCs w:val="22"/>
          <w:lang w:val="el-GR"/>
        </w:rPr>
      </w:pPr>
      <w:r w:rsidRPr="0055111B">
        <w:rPr>
          <w:rFonts w:asciiTheme="minorHAnsi" w:hAnsiTheme="minorHAnsi" w:cstheme="minorHAnsi"/>
          <w:b/>
          <w:bCs/>
          <w:sz w:val="22"/>
          <w:szCs w:val="22"/>
          <w:lang w:val="el-GR"/>
        </w:rPr>
        <w:t>ОБВРСКИ НА СТИПЕНДИСТИТЕ</w:t>
      </w:r>
    </w:p>
    <w:p w14:paraId="6ACB700E" w14:textId="77777777" w:rsidR="00C3446E" w:rsidRPr="0055111B" w:rsidRDefault="00C3446E" w:rsidP="00C3446E">
      <w:pPr>
        <w:rPr>
          <w:rFonts w:asciiTheme="minorHAnsi" w:hAnsiTheme="minorHAnsi" w:cstheme="minorHAnsi"/>
          <w:b/>
          <w:bCs/>
          <w:sz w:val="22"/>
          <w:szCs w:val="22"/>
          <w:lang w:val="el-GR"/>
        </w:rPr>
      </w:pPr>
    </w:p>
    <w:p w14:paraId="1996BA9B" w14:textId="77777777" w:rsidR="00C3446E" w:rsidRPr="0055111B" w:rsidRDefault="00C3446E" w:rsidP="00C3446E">
      <w:pPr>
        <w:rPr>
          <w:rFonts w:asciiTheme="minorHAnsi" w:hAnsiTheme="minorHAnsi" w:cstheme="minorHAnsi"/>
          <w:bCs/>
          <w:sz w:val="22"/>
          <w:szCs w:val="22"/>
          <w:lang w:val="el-GR"/>
        </w:rPr>
      </w:pPr>
      <w:r w:rsidRPr="0055111B">
        <w:rPr>
          <w:rFonts w:asciiTheme="minorHAnsi" w:hAnsiTheme="minorHAnsi" w:cstheme="minorHAnsi"/>
          <w:bCs/>
          <w:sz w:val="22"/>
          <w:szCs w:val="22"/>
          <w:lang w:val="el-GR"/>
        </w:rPr>
        <w:t>Стипендистите ги преземаат следните обврските::</w:t>
      </w:r>
    </w:p>
    <w:p w14:paraId="468186FA" w14:textId="77777777" w:rsidR="00C3446E" w:rsidRPr="0055111B" w:rsidRDefault="00C3446E" w:rsidP="00C3446E">
      <w:pPr>
        <w:rPr>
          <w:rFonts w:asciiTheme="minorHAnsi" w:hAnsiTheme="minorHAnsi" w:cstheme="minorHAnsi"/>
          <w:bCs/>
          <w:sz w:val="22"/>
          <w:szCs w:val="22"/>
          <w:lang w:val="el-GR"/>
        </w:rPr>
      </w:pPr>
    </w:p>
    <w:p w14:paraId="72240746"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Да ги испратат нивните детални оценки веднаш по објавувањето на резултатите од секој семестар (официјален универзитетски документ)</w:t>
      </w:r>
    </w:p>
    <w:p w14:paraId="6B37FC31"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 xml:space="preserve">Испратат извештај за напредок за секој семестар од студиите. </w:t>
      </w:r>
    </w:p>
    <w:p w14:paraId="5DD2D611"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 xml:space="preserve">По завршување на пост дипломската програма, да испратат копија од дипломата, завршен извештај за научните достигнувања и активности и нивната програма за следните неколку години. </w:t>
      </w:r>
    </w:p>
    <w:p w14:paraId="7C6B2429"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 xml:space="preserve">Го споменат нивниот статус како стипендисти на ОКТА АД – Скопје во нивното CV, во секоја научна комуникација или проект кој се реализира во текот на студиите, како и во нивните завршни тези. </w:t>
      </w:r>
    </w:p>
    <w:p w14:paraId="35573EDE"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 xml:space="preserve">По завршувањето на студиите и во разумен временски период, поднесат копија од насловната страница на нивната теза и внатрешните страници, каде се споменува стипендијата од ОКТА АД – Скопје.   </w:t>
      </w:r>
    </w:p>
    <w:p w14:paraId="6F139BCB"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По завршувањето на студиите, да прифатат да бидат вработени во компанијата, доколку тоа е побарано и под услов да не постои практична пречка од нивна страна, што тие мора да ја изнесат и менаџментот на компанијата мора да ја прифати, доколку смета дека е разумна.</w:t>
      </w:r>
    </w:p>
    <w:p w14:paraId="5E4CB015" w14:textId="77777777" w:rsidR="00C3446E" w:rsidRPr="0055111B" w:rsidRDefault="00C3446E" w:rsidP="00C3446E">
      <w:pPr>
        <w:pStyle w:val="ListParagraph"/>
        <w:numPr>
          <w:ilvl w:val="0"/>
          <w:numId w:val="12"/>
        </w:numPr>
        <w:spacing w:line="250" w:lineRule="atLeast"/>
        <w:rPr>
          <w:rFonts w:asciiTheme="minorHAnsi" w:hAnsiTheme="minorHAnsi" w:cstheme="minorHAnsi"/>
          <w:bCs/>
          <w:sz w:val="22"/>
          <w:szCs w:val="22"/>
          <w:lang w:val="el-GR"/>
        </w:rPr>
      </w:pPr>
      <w:r w:rsidRPr="0055111B">
        <w:rPr>
          <w:rFonts w:asciiTheme="minorHAnsi" w:hAnsiTheme="minorHAnsi" w:cstheme="minorHAnsi"/>
          <w:bCs/>
          <w:sz w:val="22"/>
          <w:szCs w:val="22"/>
          <w:lang w:val="el-GR"/>
        </w:rPr>
        <w:t>Да се регистрираат во глобалната алумни заедница на HELLENiQ ENERGY</w:t>
      </w:r>
    </w:p>
    <w:p w14:paraId="3F0C00DA" w14:textId="77777777" w:rsidR="00C3446E" w:rsidRPr="0055111B" w:rsidRDefault="00C3446E" w:rsidP="00C3446E">
      <w:pPr>
        <w:pStyle w:val="ListParagraph"/>
        <w:numPr>
          <w:ilvl w:val="0"/>
          <w:numId w:val="12"/>
        </w:numPr>
        <w:spacing w:line="250" w:lineRule="atLeast"/>
        <w:rPr>
          <w:rFonts w:asciiTheme="minorHAnsi" w:hAnsiTheme="minorHAnsi" w:cstheme="minorHAnsi"/>
          <w:sz w:val="22"/>
          <w:szCs w:val="22"/>
        </w:rPr>
      </w:pPr>
      <w:r w:rsidRPr="0055111B">
        <w:rPr>
          <w:rFonts w:asciiTheme="minorHAnsi" w:hAnsiTheme="minorHAnsi" w:cstheme="minorHAnsi"/>
          <w:bCs/>
          <w:sz w:val="22"/>
          <w:szCs w:val="22"/>
          <w:lang w:val="el-GR"/>
        </w:rPr>
        <w:t>Обезбедуваат писмени информации на годишно ниво во врска со нивниот академски или професионален развој, 3 години по завршувањето на стипендијата.</w:t>
      </w:r>
    </w:p>
    <w:p w14:paraId="4A898243" w14:textId="77777777" w:rsidR="00C3446E" w:rsidRPr="00C3446E" w:rsidRDefault="00C3446E" w:rsidP="00C3446E">
      <w:pPr>
        <w:rPr>
          <w:rFonts w:asciiTheme="minorHAnsi" w:hAnsiTheme="minorHAnsi" w:cstheme="minorHAnsi"/>
          <w:sz w:val="22"/>
          <w:szCs w:val="22"/>
        </w:rPr>
      </w:pPr>
      <w:bookmarkStart w:id="0" w:name="_GoBack"/>
      <w:bookmarkEnd w:id="0"/>
    </w:p>
    <w:p w14:paraId="5D607457" w14:textId="50647780" w:rsidR="00877838" w:rsidRPr="00C3446E" w:rsidRDefault="00877838" w:rsidP="00C3446E">
      <w:pPr>
        <w:rPr>
          <w:rFonts w:asciiTheme="minorHAnsi" w:hAnsiTheme="minorHAnsi" w:cstheme="minorHAnsi"/>
          <w:sz w:val="22"/>
          <w:szCs w:val="22"/>
        </w:rPr>
      </w:pPr>
    </w:p>
    <w:sectPr w:rsidR="00877838" w:rsidRPr="00C3446E" w:rsidSect="003D6C5A">
      <w:headerReference w:type="default" r:id="rId16"/>
      <w:footerReference w:type="default" r:id="rId17"/>
      <w:headerReference w:type="first" r:id="rId18"/>
      <w:footerReference w:type="first" r:id="rId19"/>
      <w:pgSz w:w="11900" w:h="16840" w:code="9"/>
      <w:pgMar w:top="2495" w:right="1314" w:bottom="1440" w:left="1797" w:header="907"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6956" w14:textId="77777777" w:rsidR="00D64594" w:rsidRDefault="00D64594" w:rsidP="00F218DF">
      <w:r>
        <w:separator/>
      </w:r>
    </w:p>
  </w:endnote>
  <w:endnote w:type="continuationSeparator" w:id="0">
    <w:p w14:paraId="72EFB607" w14:textId="77777777" w:rsidR="00D64594" w:rsidRDefault="00D64594" w:rsidP="00F2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732" w14:textId="1B1BDCA7" w:rsidR="00AF4D0E" w:rsidRPr="005F60E8" w:rsidRDefault="00AF4D0E" w:rsidP="00B9102C">
    <w:pPr>
      <w:pStyle w:val="Footer"/>
      <w:pBdr>
        <w:top w:val="single" w:sz="4" w:space="0" w:color="FF0000"/>
      </w:pBdr>
      <w:rPr>
        <w:rFonts w:ascii="Calibri" w:hAnsi="Calibri" w:cs="Calibri"/>
        <w:b/>
        <w:bCs/>
        <w:color w:val="365F9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D0A84" w14:textId="1CC5094D" w:rsidR="0082270B" w:rsidRDefault="0082270B" w:rsidP="007E5FA6">
    <w:pPr>
      <w:pStyle w:val="Footer"/>
      <w:tabs>
        <w:tab w:val="clear" w:pos="4320"/>
        <w:tab w:val="clear" w:pos="8640"/>
        <w:tab w:val="center" w:pos="4557"/>
        <w:tab w:val="right" w:pos="9115"/>
      </w:tabs>
      <w:jc w:val="both"/>
      <w:rPr>
        <w:rFonts w:ascii="Calibri" w:hAnsi="Calibri" w:cs="Calibri"/>
        <w:color w:val="808080"/>
        <w:sz w:val="17"/>
        <w:szCs w:val="17"/>
      </w:rPr>
    </w:pPr>
  </w:p>
  <w:tbl>
    <w:tblPr>
      <w:tblW w:w="21633" w:type="dxa"/>
      <w:tblInd w:w="-732" w:type="dxa"/>
      <w:tblBorders>
        <w:top w:val="single" w:sz="4" w:space="0" w:color="auto"/>
      </w:tblBorders>
      <w:tblLook w:val="04A0" w:firstRow="1" w:lastRow="0" w:firstColumn="1" w:lastColumn="0" w:noHBand="0" w:noVBand="1"/>
    </w:tblPr>
    <w:tblGrid>
      <w:gridCol w:w="3426"/>
      <w:gridCol w:w="141"/>
      <w:gridCol w:w="2693"/>
      <w:gridCol w:w="15373"/>
    </w:tblGrid>
    <w:tr w:rsidR="003D6C5A" w:rsidRPr="00950B00" w14:paraId="6037EE4A" w14:textId="77777777" w:rsidTr="6E6BB5C2">
      <w:trPr>
        <w:trHeight w:val="621"/>
      </w:trPr>
      <w:tc>
        <w:tcPr>
          <w:tcW w:w="3567" w:type="dxa"/>
          <w:gridSpan w:val="2"/>
          <w:tcBorders>
            <w:top w:val="nil"/>
          </w:tcBorders>
          <w:shd w:val="clear" w:color="auto" w:fill="auto"/>
        </w:tcPr>
        <w:p w14:paraId="2DBA7084" w14:textId="3B100A22" w:rsidR="00F368BD" w:rsidRPr="003D6C5A" w:rsidRDefault="6E6BB5C2" w:rsidP="00F368BD">
          <w:pPr>
            <w:ind w:left="618" w:right="-108"/>
            <w:rPr>
              <w:rFonts w:ascii="Calibri" w:hAnsi="Calibri"/>
              <w:noProof/>
              <w:color w:val="808080"/>
              <w:sz w:val="16"/>
              <w:szCs w:val="16"/>
            </w:rPr>
          </w:pPr>
          <w:r w:rsidRPr="6E6BB5C2">
            <w:rPr>
              <w:rFonts w:ascii="Calibri" w:hAnsi="Calibri"/>
              <w:noProof/>
              <w:color w:val="808080" w:themeColor="background1" w:themeShade="80"/>
              <w:sz w:val="16"/>
              <w:szCs w:val="16"/>
              <w:lang w:val="en-GB"/>
            </w:rPr>
            <w:t>OKTA AD – Skopje is a shareholding company, incorporated under its Charter and the Law on trade companies of the Republic of North Macedonia</w:t>
          </w:r>
        </w:p>
        <w:p w14:paraId="73DDB4AD" w14:textId="59388B84" w:rsidR="003D6C5A" w:rsidRPr="003D6C5A" w:rsidRDefault="003D6C5A" w:rsidP="00C6512D">
          <w:pPr>
            <w:ind w:left="618" w:right="-108"/>
            <w:rPr>
              <w:rFonts w:ascii="Calibri" w:hAnsi="Calibri"/>
              <w:noProof/>
              <w:color w:val="808080"/>
              <w:sz w:val="16"/>
              <w:szCs w:val="16"/>
            </w:rPr>
          </w:pPr>
        </w:p>
      </w:tc>
      <w:tc>
        <w:tcPr>
          <w:tcW w:w="2693" w:type="dxa"/>
          <w:tcBorders>
            <w:top w:val="nil"/>
          </w:tcBorders>
        </w:tcPr>
        <w:p w14:paraId="014EAD98" w14:textId="77777777" w:rsidR="003D6C5A" w:rsidRPr="003D6C5A" w:rsidRDefault="003D6C5A" w:rsidP="003D6C5A">
          <w:pPr>
            <w:pStyle w:val="Footer"/>
            <w:tabs>
              <w:tab w:val="clear" w:pos="4320"/>
              <w:tab w:val="clear" w:pos="8640"/>
              <w:tab w:val="center" w:pos="4557"/>
              <w:tab w:val="right" w:pos="9115"/>
            </w:tabs>
            <w:spacing w:line="240" w:lineRule="exact"/>
            <w:rPr>
              <w:rFonts w:ascii="Calibri" w:hAnsi="Calibri"/>
              <w:noProof/>
              <w:color w:val="808080"/>
              <w:sz w:val="16"/>
              <w:szCs w:val="16"/>
            </w:rPr>
          </w:pPr>
        </w:p>
        <w:p w14:paraId="3DFD38C8" w14:textId="58875EB7" w:rsidR="003D6C5A" w:rsidRPr="00F368BD" w:rsidRDefault="6E6BB5C2" w:rsidP="6E6BB5C2">
          <w:pPr>
            <w:pStyle w:val="Footer"/>
            <w:tabs>
              <w:tab w:val="clear" w:pos="4320"/>
              <w:tab w:val="clear" w:pos="8640"/>
              <w:tab w:val="center" w:pos="4557"/>
              <w:tab w:val="right" w:pos="9115"/>
            </w:tabs>
            <w:spacing w:before="100" w:line="240" w:lineRule="exact"/>
            <w:rPr>
              <w:rFonts w:ascii="Calibri" w:hAnsi="Calibri" w:cs="Calibri"/>
              <w:noProof/>
              <w:color w:val="808080"/>
              <w:sz w:val="16"/>
              <w:szCs w:val="16"/>
              <w:lang w:val="el-GR"/>
            </w:rPr>
          </w:pPr>
          <w:r w:rsidRPr="6E6BB5C2">
            <w:rPr>
              <w:rFonts w:ascii="Calibri" w:hAnsi="Calibri"/>
              <w:noProof/>
              <w:color w:val="808080" w:themeColor="background1" w:themeShade="80"/>
              <w:sz w:val="16"/>
              <w:szCs w:val="16"/>
              <w:lang w:val="en-GB"/>
            </w:rPr>
            <w:t>VAT: MK4030980254845</w:t>
          </w:r>
        </w:p>
        <w:p w14:paraId="1C5E086D" w14:textId="389E80F8" w:rsidR="003D6C5A" w:rsidRDefault="6E6BB5C2" w:rsidP="003D6C5A">
          <w:pPr>
            <w:pStyle w:val="Footer"/>
            <w:tabs>
              <w:tab w:val="clear" w:pos="4320"/>
              <w:tab w:val="clear" w:pos="8640"/>
              <w:tab w:val="center" w:pos="4557"/>
              <w:tab w:val="right" w:pos="9115"/>
            </w:tabs>
            <w:rPr>
              <w:rFonts w:ascii="Calibri" w:hAnsi="Calibri"/>
              <w:noProof/>
              <w:color w:val="808080"/>
              <w:sz w:val="17"/>
              <w:szCs w:val="17"/>
              <w:lang w:val="en-GB"/>
            </w:rPr>
          </w:pPr>
          <w:r w:rsidRPr="6E6BB5C2">
            <w:rPr>
              <w:rFonts w:ascii="Calibri" w:hAnsi="Calibri"/>
              <w:noProof/>
              <w:color w:val="808080" w:themeColor="background1" w:themeShade="80"/>
              <w:sz w:val="16"/>
              <w:szCs w:val="16"/>
              <w:lang w:val="en-GB"/>
            </w:rPr>
            <w:t>CR No: 4074009</w:t>
          </w:r>
        </w:p>
      </w:tc>
      <w:tc>
        <w:tcPr>
          <w:tcW w:w="15373" w:type="dxa"/>
          <w:vMerge w:val="restart"/>
          <w:tcBorders>
            <w:top w:val="nil"/>
          </w:tcBorders>
          <w:shd w:val="clear" w:color="auto" w:fill="auto"/>
        </w:tcPr>
        <w:p w14:paraId="1B69473D" w14:textId="0C1BAA39" w:rsidR="003D6C5A" w:rsidRDefault="003D6C5A" w:rsidP="007E5FA6">
          <w:pPr>
            <w:pStyle w:val="Footer"/>
            <w:tabs>
              <w:tab w:val="clear" w:pos="4320"/>
              <w:tab w:val="clear" w:pos="8640"/>
              <w:tab w:val="center" w:pos="4557"/>
              <w:tab w:val="right" w:pos="9115"/>
            </w:tabs>
            <w:rPr>
              <w:rFonts w:ascii="Calibri" w:hAnsi="Calibri"/>
              <w:noProof/>
              <w:color w:val="808080"/>
              <w:sz w:val="17"/>
              <w:szCs w:val="17"/>
              <w:lang w:val="en-GB"/>
            </w:rPr>
          </w:pPr>
        </w:p>
        <w:p w14:paraId="2E28D31A" w14:textId="77777777" w:rsidR="003D6C5A" w:rsidRPr="005F60E8" w:rsidRDefault="003D6C5A" w:rsidP="007E5FA6">
          <w:pPr>
            <w:pStyle w:val="Footer"/>
            <w:tabs>
              <w:tab w:val="clear" w:pos="4320"/>
              <w:tab w:val="clear" w:pos="8640"/>
              <w:tab w:val="center" w:pos="4557"/>
              <w:tab w:val="right" w:pos="9115"/>
            </w:tabs>
            <w:rPr>
              <w:rFonts w:ascii="Calibri" w:hAnsi="Calibri"/>
              <w:noProof/>
              <w:color w:val="808080"/>
              <w:sz w:val="17"/>
              <w:szCs w:val="17"/>
              <w:lang w:val="en-GB"/>
            </w:rPr>
          </w:pPr>
        </w:p>
        <w:p w14:paraId="68069967" w14:textId="2F497C33" w:rsidR="003D6C5A" w:rsidRPr="005F60E8" w:rsidRDefault="003D6C5A" w:rsidP="00C6512D">
          <w:pPr>
            <w:pStyle w:val="Footer"/>
            <w:tabs>
              <w:tab w:val="center" w:pos="4860"/>
              <w:tab w:val="right" w:pos="9115"/>
            </w:tabs>
            <w:spacing w:before="100"/>
            <w:ind w:left="-284"/>
            <w:rPr>
              <w:rFonts w:ascii="Calibri" w:hAnsi="Calibri"/>
              <w:noProof/>
              <w:color w:val="808080"/>
              <w:sz w:val="17"/>
              <w:szCs w:val="17"/>
              <w:lang w:val="en-GB"/>
            </w:rPr>
          </w:pPr>
          <w:r w:rsidRPr="00251D55">
            <w:rPr>
              <w:rFonts w:ascii="Calibri" w:hAnsi="Calibri"/>
              <w:noProof/>
              <w:color w:val="808080"/>
              <w:sz w:val="17"/>
              <w:szCs w:val="17"/>
            </w:rPr>
            <w:drawing>
              <wp:anchor distT="0" distB="0" distL="114300" distR="114300" simplePos="0" relativeHeight="251688960" behindDoc="0" locked="0" layoutInCell="1" allowOverlap="1" wp14:anchorId="312E7E61" wp14:editId="463A4662">
                <wp:simplePos x="0" y="0"/>
                <wp:positionH relativeFrom="column">
                  <wp:posOffset>-182002</wp:posOffset>
                </wp:positionH>
                <wp:positionV relativeFrom="paragraph">
                  <wp:posOffset>82469</wp:posOffset>
                </wp:positionV>
                <wp:extent cx="2095500" cy="114300"/>
                <wp:effectExtent l="0" t="0" r="0" b="0"/>
                <wp:wrapNone/>
                <wp:docPr id="363619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750149" name=""/>
                        <pic:cNvPicPr/>
                      </pic:nvPicPr>
                      <pic:blipFill>
                        <a:blip r:embed="rId1"/>
                        <a:stretch>
                          <a:fillRect/>
                        </a:stretch>
                      </pic:blipFill>
                      <pic:spPr>
                        <a:xfrm>
                          <a:off x="0" y="0"/>
                          <a:ext cx="2095500" cy="114300"/>
                        </a:xfrm>
                        <a:prstGeom prst="rect">
                          <a:avLst/>
                        </a:prstGeom>
                      </pic:spPr>
                    </pic:pic>
                  </a:graphicData>
                </a:graphic>
                <wp14:sizeRelH relativeFrom="page">
                  <wp14:pctWidth>0</wp14:pctWidth>
                </wp14:sizeRelH>
                <wp14:sizeRelV relativeFrom="page">
                  <wp14:pctHeight>0</wp14:pctHeight>
                </wp14:sizeRelV>
              </wp:anchor>
            </w:drawing>
          </w:r>
        </w:p>
      </w:tc>
    </w:tr>
    <w:tr w:rsidR="003D6C5A" w:rsidRPr="00950B00" w14:paraId="460CD187" w14:textId="77777777" w:rsidTr="6E6BB5C2">
      <w:trPr>
        <w:trHeight w:val="274"/>
      </w:trPr>
      <w:tc>
        <w:tcPr>
          <w:tcW w:w="3426" w:type="dxa"/>
          <w:tcBorders>
            <w:top w:val="nil"/>
          </w:tcBorders>
          <w:shd w:val="clear" w:color="auto" w:fill="auto"/>
        </w:tcPr>
        <w:p w14:paraId="4C1159B2" w14:textId="77777777" w:rsidR="003D6C5A" w:rsidRPr="0092503C" w:rsidRDefault="003D6C5A" w:rsidP="007E5FA6">
          <w:pPr>
            <w:pStyle w:val="Footer"/>
            <w:tabs>
              <w:tab w:val="clear" w:pos="4320"/>
              <w:tab w:val="clear" w:pos="8640"/>
              <w:tab w:val="center" w:pos="4557"/>
              <w:tab w:val="right" w:pos="9115"/>
            </w:tabs>
            <w:rPr>
              <w:rFonts w:ascii="Calibri" w:hAnsi="Calibri" w:cs="Calibri"/>
              <w:color w:val="365F91"/>
              <w:sz w:val="20"/>
              <w:szCs w:val="20"/>
            </w:rPr>
          </w:pPr>
        </w:p>
      </w:tc>
      <w:tc>
        <w:tcPr>
          <w:tcW w:w="2834" w:type="dxa"/>
          <w:gridSpan w:val="2"/>
          <w:tcBorders>
            <w:top w:val="nil"/>
          </w:tcBorders>
        </w:tcPr>
        <w:p w14:paraId="3860CA44" w14:textId="7FAD7F65" w:rsidR="003D6C5A" w:rsidRPr="003D6C5A" w:rsidRDefault="003D6C5A" w:rsidP="003D6C5A">
          <w:pPr>
            <w:pStyle w:val="Footer"/>
            <w:tabs>
              <w:tab w:val="clear" w:pos="4320"/>
              <w:tab w:val="clear" w:pos="8640"/>
              <w:tab w:val="center" w:pos="4557"/>
              <w:tab w:val="right" w:pos="9115"/>
            </w:tabs>
            <w:spacing w:line="240" w:lineRule="exact"/>
            <w:rPr>
              <w:rFonts w:ascii="Calibri" w:hAnsi="Calibri"/>
              <w:noProof/>
              <w:color w:val="808080"/>
              <w:sz w:val="17"/>
              <w:szCs w:val="17"/>
              <w:lang w:val="el-GR"/>
            </w:rPr>
          </w:pPr>
        </w:p>
      </w:tc>
      <w:tc>
        <w:tcPr>
          <w:tcW w:w="15373" w:type="dxa"/>
          <w:vMerge/>
        </w:tcPr>
        <w:p w14:paraId="50AADDD3" w14:textId="158F5FF4" w:rsidR="003D6C5A" w:rsidRPr="005F60E8" w:rsidRDefault="003D6C5A" w:rsidP="007E5FA6">
          <w:pPr>
            <w:pStyle w:val="Footer"/>
            <w:tabs>
              <w:tab w:val="clear" w:pos="4320"/>
              <w:tab w:val="clear" w:pos="8640"/>
              <w:tab w:val="center" w:pos="4557"/>
              <w:tab w:val="right" w:pos="9115"/>
            </w:tabs>
            <w:rPr>
              <w:rFonts w:ascii="Calibri" w:hAnsi="Calibri"/>
              <w:noProof/>
              <w:color w:val="808080"/>
              <w:sz w:val="17"/>
              <w:szCs w:val="17"/>
              <w:lang w:val="en-GB"/>
            </w:rPr>
          </w:pPr>
        </w:p>
      </w:tc>
    </w:tr>
  </w:tbl>
  <w:p w14:paraId="31E248EF" w14:textId="2F464135" w:rsidR="009553AD" w:rsidRPr="007E5FA6" w:rsidRDefault="009553AD" w:rsidP="00314EB0">
    <w:pPr>
      <w:ind w:right="-558"/>
      <w:rPr>
        <w:rFonts w:ascii="Calibri" w:hAnsi="Calibri"/>
        <w:noProof/>
        <w:color w:val="808080"/>
        <w:sz w:val="17"/>
        <w:szCs w:val="17"/>
        <w:lang w:val="en-GB"/>
      </w:rPr>
    </w:pPr>
    <w:r>
      <w:rPr>
        <w:rFonts w:ascii="Calibri" w:hAnsi="Calibri"/>
        <w:noProof/>
        <w:color w:val="808080"/>
        <w:sz w:val="17"/>
        <w:szCs w:val="17"/>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E0658" w14:textId="77777777" w:rsidR="00D64594" w:rsidRDefault="00D64594" w:rsidP="00F218DF">
      <w:r>
        <w:separator/>
      </w:r>
    </w:p>
  </w:footnote>
  <w:footnote w:type="continuationSeparator" w:id="0">
    <w:p w14:paraId="7D6725BA" w14:textId="77777777" w:rsidR="00D64594" w:rsidRDefault="00D64594" w:rsidP="00F2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5C4D" w14:textId="261F4C14" w:rsidR="00961DD4" w:rsidRDefault="00C3446E" w:rsidP="00BF2FC2">
    <w:pPr>
      <w:pStyle w:val="Header"/>
      <w:ind w:left="-990" w:firstLine="90"/>
      <w:rPr>
        <w:rFonts w:ascii="Calibri" w:hAnsi="Calibri"/>
        <w:color w:val="808080"/>
        <w:sz w:val="17"/>
        <w:szCs w:val="17"/>
      </w:rPr>
    </w:pPr>
    <w:r w:rsidRPr="00DC5B9D">
      <w:rPr>
        <w:rFonts w:ascii="Calibri" w:hAnsi="Calibri"/>
        <w:b/>
        <w:noProof/>
        <w:color w:val="365F91"/>
        <w:sz w:val="48"/>
        <w:szCs w:val="48"/>
      </w:rPr>
      <w:drawing>
        <wp:anchor distT="0" distB="0" distL="114300" distR="114300" simplePos="0" relativeHeight="251697152" behindDoc="0" locked="0" layoutInCell="1" allowOverlap="1" wp14:anchorId="19B66513" wp14:editId="05503A29">
          <wp:simplePos x="0" y="0"/>
          <wp:positionH relativeFrom="column">
            <wp:posOffset>0</wp:posOffset>
          </wp:positionH>
          <wp:positionV relativeFrom="paragraph">
            <wp:posOffset>0</wp:posOffset>
          </wp:positionV>
          <wp:extent cx="906780" cy="91569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95429" name=""/>
                  <pic:cNvPicPr/>
                </pic:nvPicPr>
                <pic:blipFill>
                  <a:blip r:embed="rId1">
                    <a:extLst>
                      <a:ext uri="{28A0092B-C50C-407E-A947-70E740481C1C}">
                        <a14:useLocalDpi xmlns:a14="http://schemas.microsoft.com/office/drawing/2010/main" val="0"/>
                      </a:ext>
                    </a:extLst>
                  </a:blip>
                  <a:stretch>
                    <a:fillRect/>
                  </a:stretch>
                </pic:blipFill>
                <pic:spPr>
                  <a:xfrm>
                    <a:off x="0" y="0"/>
                    <a:ext cx="906780" cy="915692"/>
                  </a:xfrm>
                  <a:prstGeom prst="rect">
                    <a:avLst/>
                  </a:prstGeom>
                </pic:spPr>
              </pic:pic>
            </a:graphicData>
          </a:graphic>
        </wp:anchor>
      </w:drawing>
    </w:r>
  </w:p>
  <w:p w14:paraId="1662C89F" w14:textId="77777777" w:rsidR="00961DD4" w:rsidRPr="00F218DF" w:rsidRDefault="00961DD4" w:rsidP="005F60E8">
    <w:pPr>
      <w:spacing w:line="360" w:lineRule="auto"/>
      <w:rPr>
        <w:rFonts w:ascii="Calibri" w:hAnsi="Calibri"/>
        <w:color w:val="80808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44BB" w14:textId="5B06165B" w:rsidR="00BF2FC2" w:rsidRDefault="00BF2FC2" w:rsidP="00D55CCC">
    <w:pPr>
      <w:spacing w:line="360" w:lineRule="auto"/>
      <w:rPr>
        <w:rFonts w:ascii="Calibri" w:hAnsi="Calibri"/>
        <w:b/>
        <w:noProof/>
        <w:color w:val="365F91"/>
        <w:sz w:val="28"/>
        <w:szCs w:val="17"/>
      </w:rPr>
    </w:pPr>
  </w:p>
  <w:tbl>
    <w:tblPr>
      <w:tblStyle w:val="TableGrid"/>
      <w:tblW w:w="9640" w:type="dxa"/>
      <w:tblInd w:w="-8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48"/>
      <w:gridCol w:w="4592"/>
    </w:tblGrid>
    <w:tr w:rsidR="003648C0" w14:paraId="4C919933" w14:textId="77777777" w:rsidTr="1E0677A5">
      <w:trPr>
        <w:trHeight w:val="300"/>
      </w:trPr>
      <w:tc>
        <w:tcPr>
          <w:tcW w:w="5048" w:type="dxa"/>
        </w:tcPr>
        <w:p w14:paraId="2E00C9A6" w14:textId="6B76F1CD" w:rsidR="00C24E36" w:rsidRDefault="00DC5B9D" w:rsidP="00040E5A">
          <w:pPr>
            <w:ind w:left="709"/>
            <w:rPr>
              <w:rFonts w:ascii="Calibri" w:hAnsi="Calibri"/>
              <w:b/>
              <w:noProof/>
              <w:color w:val="365F91"/>
              <w:sz w:val="48"/>
              <w:szCs w:val="48"/>
            </w:rPr>
          </w:pPr>
          <w:r w:rsidRPr="00DC5B9D">
            <w:rPr>
              <w:rFonts w:ascii="Calibri" w:hAnsi="Calibri"/>
              <w:b/>
              <w:noProof/>
              <w:color w:val="365F91"/>
              <w:sz w:val="48"/>
              <w:szCs w:val="48"/>
            </w:rPr>
            <w:drawing>
              <wp:anchor distT="0" distB="0" distL="114300" distR="114300" simplePos="0" relativeHeight="251689984" behindDoc="0" locked="0" layoutInCell="1" allowOverlap="1" wp14:anchorId="4D27356A" wp14:editId="3C78C585">
                <wp:simplePos x="0" y="0"/>
                <wp:positionH relativeFrom="column">
                  <wp:posOffset>336550</wp:posOffset>
                </wp:positionH>
                <wp:positionV relativeFrom="paragraph">
                  <wp:posOffset>-92710</wp:posOffset>
                </wp:positionV>
                <wp:extent cx="906780" cy="915692"/>
                <wp:effectExtent l="0" t="0" r="7620" b="0"/>
                <wp:wrapNone/>
                <wp:docPr id="1427395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95429" name=""/>
                        <pic:cNvPicPr/>
                      </pic:nvPicPr>
                      <pic:blipFill>
                        <a:blip r:embed="rId1">
                          <a:extLst>
                            <a:ext uri="{28A0092B-C50C-407E-A947-70E740481C1C}">
                              <a14:useLocalDpi xmlns:a14="http://schemas.microsoft.com/office/drawing/2010/main" val="0"/>
                            </a:ext>
                          </a:extLst>
                        </a:blip>
                        <a:stretch>
                          <a:fillRect/>
                        </a:stretch>
                      </pic:blipFill>
                      <pic:spPr>
                        <a:xfrm>
                          <a:off x="0" y="0"/>
                          <a:ext cx="906780" cy="915692"/>
                        </a:xfrm>
                        <a:prstGeom prst="rect">
                          <a:avLst/>
                        </a:prstGeom>
                      </pic:spPr>
                    </pic:pic>
                  </a:graphicData>
                </a:graphic>
              </wp:anchor>
            </w:drawing>
          </w:r>
        </w:p>
        <w:p w14:paraId="6F449F99" w14:textId="77777777" w:rsidR="00C24E36" w:rsidRPr="00276B54" w:rsidRDefault="00C24E36" w:rsidP="00C24E36">
          <w:pPr>
            <w:rPr>
              <w:rFonts w:ascii="Calibri" w:hAnsi="Calibri"/>
              <w:b/>
              <w:noProof/>
              <w:color w:val="365F91"/>
              <w:sz w:val="48"/>
              <w:szCs w:val="48"/>
              <w:lang w:val="pt-BR"/>
            </w:rPr>
          </w:pPr>
        </w:p>
      </w:tc>
      <w:tc>
        <w:tcPr>
          <w:tcW w:w="4592" w:type="dxa"/>
        </w:tcPr>
        <w:p w14:paraId="0597B26C" w14:textId="77777777" w:rsidR="00F368BD" w:rsidRPr="009A0464" w:rsidRDefault="00F368BD" w:rsidP="00F368BD">
          <w:pPr>
            <w:pStyle w:val="Header"/>
            <w:tabs>
              <w:tab w:val="center" w:pos="4513"/>
              <w:tab w:val="right" w:pos="9026"/>
            </w:tabs>
            <w:jc w:val="right"/>
            <w:rPr>
              <w:sz w:val="16"/>
              <w:szCs w:val="16"/>
              <w:lang w:val="mk-MK"/>
            </w:rPr>
          </w:pPr>
          <w:r w:rsidRPr="009A0464">
            <w:rPr>
              <w:sz w:val="16"/>
              <w:szCs w:val="16"/>
              <w:lang w:val="mk-MK"/>
            </w:rPr>
            <w:t>ОКТА АД - Скопје</w:t>
          </w:r>
        </w:p>
        <w:p w14:paraId="27A49AF3" w14:textId="77777777" w:rsidR="00F368BD" w:rsidRPr="009A0464" w:rsidRDefault="00F368BD" w:rsidP="00F368BD">
          <w:pPr>
            <w:pStyle w:val="Header"/>
            <w:tabs>
              <w:tab w:val="center" w:pos="4513"/>
              <w:tab w:val="right" w:pos="9026"/>
            </w:tabs>
            <w:jc w:val="right"/>
            <w:rPr>
              <w:sz w:val="16"/>
              <w:szCs w:val="16"/>
              <w:lang w:val="mk-MK"/>
            </w:rPr>
          </w:pPr>
          <w:r w:rsidRPr="009A0464">
            <w:rPr>
              <w:sz w:val="16"/>
              <w:szCs w:val="16"/>
              <w:lang w:val="mk-MK"/>
            </w:rPr>
            <w:t>ул. 1 бр.25 Миладиновци, п.фах 66, 1000 Скопје</w:t>
          </w:r>
        </w:p>
        <w:p w14:paraId="70D91B37" w14:textId="77777777" w:rsidR="00F368BD" w:rsidRPr="009A0464" w:rsidRDefault="00F368BD" w:rsidP="00F368BD">
          <w:pPr>
            <w:pStyle w:val="Header"/>
            <w:tabs>
              <w:tab w:val="center" w:pos="4513"/>
              <w:tab w:val="right" w:pos="9026"/>
            </w:tabs>
            <w:jc w:val="right"/>
            <w:rPr>
              <w:sz w:val="16"/>
              <w:szCs w:val="16"/>
              <w:lang w:val="mk-MK"/>
            </w:rPr>
          </w:pPr>
          <w:r w:rsidRPr="009A0464">
            <w:rPr>
              <w:sz w:val="16"/>
              <w:szCs w:val="16"/>
              <w:lang w:val="mk-MK"/>
            </w:rPr>
            <w:t>Тел: +389 (0) 2 2532 000     Факс: +389 (0) 2 2577 788</w:t>
          </w:r>
        </w:p>
        <w:p w14:paraId="53F5FCFF" w14:textId="77777777" w:rsidR="00F368BD" w:rsidRPr="00DE3D63" w:rsidRDefault="00F368BD" w:rsidP="00F368BD">
          <w:pPr>
            <w:pStyle w:val="Header"/>
            <w:tabs>
              <w:tab w:val="center" w:pos="4513"/>
              <w:tab w:val="right" w:pos="9026"/>
            </w:tabs>
            <w:rPr>
              <w:color w:val="FF0000"/>
              <w:sz w:val="16"/>
              <w:szCs w:val="16"/>
              <w:lang w:val="mk-MK"/>
            </w:rPr>
          </w:pPr>
          <w:r w:rsidRPr="009A0464">
            <w:rPr>
              <w:noProof/>
              <w:color w:val="FF0000"/>
              <w:sz w:val="16"/>
              <w:szCs w:val="16"/>
            </w:rPr>
            <mc:AlternateContent>
              <mc:Choice Requires="wps">
                <w:drawing>
                  <wp:anchor distT="0" distB="0" distL="114300" distR="114300" simplePos="0" relativeHeight="251694080" behindDoc="0" locked="0" layoutInCell="1" allowOverlap="1" wp14:anchorId="1F1F1119" wp14:editId="05DFA362">
                    <wp:simplePos x="0" y="0"/>
                    <wp:positionH relativeFrom="column">
                      <wp:posOffset>176530</wp:posOffset>
                    </wp:positionH>
                    <wp:positionV relativeFrom="paragraph">
                      <wp:posOffset>53340</wp:posOffset>
                    </wp:positionV>
                    <wp:extent cx="2231390" cy="0"/>
                    <wp:effectExtent l="0" t="0" r="35560" b="19050"/>
                    <wp:wrapNone/>
                    <wp:docPr id="16" name="Straight Connector 16"/>
                    <wp:cNvGraphicFramePr/>
                    <a:graphic xmlns:a="http://schemas.openxmlformats.org/drawingml/2006/main">
                      <a:graphicData uri="http://schemas.microsoft.com/office/word/2010/wordprocessingShape">
                        <wps:wsp>
                          <wps:cNvCnPr/>
                          <wps:spPr>
                            <a:xfrm flipV="1">
                              <a:off x="0" y="0"/>
                              <a:ext cx="2231390" cy="0"/>
                            </a:xfrm>
                            <a:prstGeom prst="line">
                              <a:avLst/>
                            </a:prstGeom>
                            <a:ln>
                              <a:solidFill>
                                <a:srgbClr val="E61E25"/>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61e25" from="13.9pt,4.2pt" to="189.6pt,4.2pt" w14:anchorId="113EDA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"/>
                </w:pict>
              </mc:Fallback>
            </mc:AlternateContent>
          </w:r>
          <w:r w:rsidRPr="009A0464">
            <w:rPr>
              <w:noProof/>
              <w:color w:val="FF0000"/>
              <w:sz w:val="16"/>
              <w:szCs w:val="16"/>
            </w:rPr>
            <mc:AlternateContent>
              <mc:Choice Requires="wps">
                <w:drawing>
                  <wp:anchor distT="0" distB="0" distL="114300" distR="114300" simplePos="0" relativeHeight="251692032" behindDoc="0" locked="0" layoutInCell="1" allowOverlap="1" wp14:anchorId="6F8B9C06" wp14:editId="59ED7F93">
                    <wp:simplePos x="0" y="0"/>
                    <wp:positionH relativeFrom="column">
                      <wp:posOffset>3637280</wp:posOffset>
                    </wp:positionH>
                    <wp:positionV relativeFrom="paragraph">
                      <wp:posOffset>66040</wp:posOffset>
                    </wp:positionV>
                    <wp:extent cx="2231390" cy="635"/>
                    <wp:effectExtent l="8255" t="9525" r="8255" b="889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1390" cy="635"/>
                            </a:xfrm>
                            <a:prstGeom prst="straightConnector1">
                              <a:avLst/>
                            </a:prstGeom>
                            <a:noFill/>
                            <a:ln w="9525">
                              <a:solidFill>
                                <a:srgbClr val="E61E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F3DD38E">
                    <v:path fillok="f" arrowok="t" o:connecttype="none"/>
                    <o:lock v:ext="edit" shapetype="t"/>
                  </v:shapetype>
                  <v:shape id="AutoShape 7" style="position:absolute;margin-left:286.4pt;margin-top:5.2pt;width:175.7pt;height:.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61e2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"/>
                </w:pict>
              </mc:Fallback>
            </mc:AlternateContent>
          </w:r>
          <w:r w:rsidRPr="00DE3D63">
            <w:rPr>
              <w:color w:val="FF0000"/>
              <w:sz w:val="16"/>
              <w:szCs w:val="16"/>
              <w:lang w:val="mk-MK"/>
            </w:rPr>
            <w:t xml:space="preserve">                    </w:t>
          </w:r>
        </w:p>
        <w:p w14:paraId="1EF7B1C2" w14:textId="77777777" w:rsidR="00F368BD" w:rsidRPr="00A259A0" w:rsidRDefault="00F368BD" w:rsidP="00F368BD">
          <w:pPr>
            <w:pStyle w:val="Header"/>
            <w:tabs>
              <w:tab w:val="center" w:pos="4513"/>
              <w:tab w:val="right" w:pos="9026"/>
            </w:tabs>
            <w:jc w:val="right"/>
            <w:rPr>
              <w:sz w:val="16"/>
              <w:szCs w:val="16"/>
              <w:lang w:val="mk-MK"/>
            </w:rPr>
          </w:pPr>
          <w:r w:rsidRPr="00A259A0">
            <w:rPr>
              <w:sz w:val="16"/>
              <w:szCs w:val="16"/>
              <w:lang w:val="mk-MK"/>
            </w:rPr>
            <w:t>ОКТА AD - Skopje</w:t>
          </w:r>
        </w:p>
        <w:p w14:paraId="1F6B2144" w14:textId="77777777" w:rsidR="00F368BD" w:rsidRPr="00A259A0" w:rsidRDefault="00F368BD" w:rsidP="00F368BD">
          <w:pPr>
            <w:pStyle w:val="Header"/>
            <w:tabs>
              <w:tab w:val="center" w:pos="4513"/>
              <w:tab w:val="right" w:pos="9026"/>
            </w:tabs>
            <w:jc w:val="right"/>
            <w:rPr>
              <w:sz w:val="16"/>
              <w:szCs w:val="16"/>
              <w:lang w:val="mk-MK"/>
            </w:rPr>
          </w:pPr>
          <w:r w:rsidRPr="00A259A0">
            <w:rPr>
              <w:sz w:val="16"/>
              <w:szCs w:val="16"/>
              <w:lang w:val="mk-MK"/>
            </w:rPr>
            <w:t xml:space="preserve">1 Str. 25 </w:t>
          </w:r>
          <w:r w:rsidRPr="009A0464">
            <w:rPr>
              <w:sz w:val="16"/>
              <w:szCs w:val="16"/>
              <w:lang w:val="mk-MK"/>
            </w:rPr>
            <w:t>Miladinovci, P.O. Box</w:t>
          </w:r>
          <w:r w:rsidRPr="00A259A0">
            <w:rPr>
              <w:sz w:val="16"/>
              <w:szCs w:val="16"/>
              <w:lang w:val="mk-MK"/>
            </w:rPr>
            <w:t xml:space="preserve"> 66, 1000 Skopje</w:t>
          </w:r>
        </w:p>
        <w:p w14:paraId="6BE7F39C" w14:textId="77777777" w:rsidR="00F368BD" w:rsidRDefault="00F368BD" w:rsidP="00F368BD">
          <w:pPr>
            <w:pStyle w:val="Header"/>
            <w:jc w:val="right"/>
            <w:rPr>
              <w:sz w:val="16"/>
              <w:szCs w:val="16"/>
            </w:rPr>
          </w:pPr>
          <w:r w:rsidRPr="00824635">
            <w:rPr>
              <w:sz w:val="16"/>
              <w:szCs w:val="16"/>
            </w:rPr>
            <w:t>Tel: +389 (0) 2 2532 0</w:t>
          </w:r>
          <w:r>
            <w:rPr>
              <w:sz w:val="16"/>
              <w:szCs w:val="16"/>
            </w:rPr>
            <w:t>00     Fax: +389 (0) 2 2577 788</w:t>
          </w:r>
        </w:p>
        <w:p w14:paraId="1FA65EDA" w14:textId="3C799392" w:rsidR="00C24E36" w:rsidRPr="00BD0067" w:rsidRDefault="00F368BD" w:rsidP="00F368BD">
          <w:pPr>
            <w:spacing w:line="360" w:lineRule="auto"/>
            <w:jc w:val="right"/>
            <w:rPr>
              <w:rFonts w:ascii="Calibri" w:hAnsi="Calibri"/>
              <w:noProof/>
              <w:color w:val="808080"/>
              <w:sz w:val="17"/>
              <w:szCs w:val="17"/>
            </w:rPr>
          </w:pPr>
          <w:r w:rsidRPr="00F212A5">
            <w:rPr>
              <w:noProof/>
              <w:color w:val="E61E25"/>
              <w:sz w:val="16"/>
              <w:szCs w:val="16"/>
            </w:rPr>
            <mc:AlternateContent>
              <mc:Choice Requires="wps">
                <w:drawing>
                  <wp:anchor distT="0" distB="0" distL="114300" distR="114300" simplePos="0" relativeHeight="251695104" behindDoc="0" locked="0" layoutInCell="1" allowOverlap="1" wp14:anchorId="07440BBD" wp14:editId="58830343">
                    <wp:simplePos x="0" y="0"/>
                    <wp:positionH relativeFrom="column">
                      <wp:posOffset>165100</wp:posOffset>
                    </wp:positionH>
                    <wp:positionV relativeFrom="paragraph">
                      <wp:posOffset>34925</wp:posOffset>
                    </wp:positionV>
                    <wp:extent cx="2240915" cy="10160"/>
                    <wp:effectExtent l="0" t="0" r="26035" b="27940"/>
                    <wp:wrapNone/>
                    <wp:docPr id="17" name="Straight Connector 17"/>
                    <wp:cNvGraphicFramePr/>
                    <a:graphic xmlns:a="http://schemas.openxmlformats.org/drawingml/2006/main">
                      <a:graphicData uri="http://schemas.microsoft.com/office/word/2010/wordprocessingShape">
                        <wps:wsp>
                          <wps:cNvCnPr/>
                          <wps:spPr>
                            <a:xfrm flipV="1">
                              <a:off x="0" y="0"/>
                              <a:ext cx="2240915" cy="10160"/>
                            </a:xfrm>
                            <a:prstGeom prst="line">
                              <a:avLst/>
                            </a:prstGeom>
                            <a:ln>
                              <a:solidFill>
                                <a:srgbClr val="E61E25"/>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17"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61e25" from="13pt,2.75pt" to="189.45pt,3.55pt" w14:anchorId="70C1DF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"/>
                </w:pict>
              </mc:Fallback>
            </mc:AlternateContent>
          </w:r>
          <w:r w:rsidRPr="00F212A5">
            <w:rPr>
              <w:noProof/>
              <w:color w:val="E61E25"/>
              <w:sz w:val="16"/>
              <w:szCs w:val="16"/>
            </w:rPr>
            <mc:AlternateContent>
              <mc:Choice Requires="wps">
                <w:drawing>
                  <wp:anchor distT="0" distB="0" distL="114300" distR="114300" simplePos="0" relativeHeight="251693056" behindDoc="0" locked="0" layoutInCell="1" allowOverlap="1" wp14:anchorId="3521049F" wp14:editId="4EBB1516">
                    <wp:simplePos x="0" y="0"/>
                    <wp:positionH relativeFrom="column">
                      <wp:posOffset>3637280</wp:posOffset>
                    </wp:positionH>
                    <wp:positionV relativeFrom="paragraph">
                      <wp:posOffset>74295</wp:posOffset>
                    </wp:positionV>
                    <wp:extent cx="2253615" cy="0"/>
                    <wp:effectExtent l="8255" t="7620" r="508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3615" cy="0"/>
                            </a:xfrm>
                            <a:prstGeom prst="straightConnector1">
                              <a:avLst/>
                            </a:prstGeom>
                            <a:noFill/>
                            <a:ln w="9525">
                              <a:solidFill>
                                <a:srgbClr val="E61E2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8" style="position:absolute;margin-left:286.4pt;margin-top:5.85pt;width:177.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e61e25"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" w14:anchorId="59FC8629"/>
                </w:pict>
              </mc:Fallback>
            </mc:AlternateContent>
          </w:r>
          <w:r w:rsidRPr="00F212A5">
            <w:rPr>
              <w:sz w:val="16"/>
              <w:szCs w:val="16"/>
            </w:rPr>
            <w:t>www.okta-elpe.com</w:t>
          </w:r>
        </w:p>
      </w:tc>
    </w:tr>
  </w:tbl>
  <w:p w14:paraId="08AF28BA" w14:textId="3AA63362" w:rsidR="00DD69B0" w:rsidRPr="00C24E36" w:rsidRDefault="00DD69B0" w:rsidP="00C24E36">
    <w:pPr>
      <w:spacing w:line="360" w:lineRule="auto"/>
      <w:rPr>
        <w:rFonts w:ascii="Calibri" w:hAnsi="Calibri"/>
        <w:color w:val="8080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0F53"/>
    <w:multiLevelType w:val="hybridMultilevel"/>
    <w:tmpl w:val="2218771C"/>
    <w:lvl w:ilvl="0" w:tplc="081A000B">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49E538C"/>
    <w:multiLevelType w:val="hybridMultilevel"/>
    <w:tmpl w:val="B77A361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7D363C1"/>
    <w:multiLevelType w:val="hybridMultilevel"/>
    <w:tmpl w:val="4E0222C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15:restartNumberingAfterBreak="0">
    <w:nsid w:val="0DD83D4D"/>
    <w:multiLevelType w:val="hybridMultilevel"/>
    <w:tmpl w:val="AB7087A8"/>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 w15:restartNumberingAfterBreak="0">
    <w:nsid w:val="2B120D24"/>
    <w:multiLevelType w:val="hybridMultilevel"/>
    <w:tmpl w:val="A454AEA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B9332B3"/>
    <w:multiLevelType w:val="hybridMultilevel"/>
    <w:tmpl w:val="7D107320"/>
    <w:lvl w:ilvl="0" w:tplc="081A0003">
      <w:start w:val="1"/>
      <w:numFmt w:val="bullet"/>
      <w:lvlText w:val="o"/>
      <w:lvlJc w:val="left"/>
      <w:pPr>
        <w:ind w:left="720" w:hanging="360"/>
      </w:pPr>
      <w:rPr>
        <w:rFonts w:ascii="Courier New" w:hAnsi="Courier New" w:cs="Courier Ne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3E2E1FB8"/>
    <w:multiLevelType w:val="hybridMultilevel"/>
    <w:tmpl w:val="9564A624"/>
    <w:lvl w:ilvl="0" w:tplc="16CABF9E">
      <w:start w:val="1"/>
      <w:numFmt w:val="bullet"/>
      <w:lvlText w:val="-"/>
      <w:lvlJc w:val="left"/>
      <w:pPr>
        <w:ind w:left="1080" w:hanging="360"/>
      </w:pPr>
      <w:rPr>
        <w:rFonts w:ascii="Calibri" w:eastAsia="Times New Roman" w:hAnsi="Calibri" w:cs="Calibri" w:hint="default"/>
        <w:color w:val="1F497D" w:themeColor="text2"/>
        <w:sz w:val="22"/>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4D447F6E"/>
    <w:multiLevelType w:val="hybridMultilevel"/>
    <w:tmpl w:val="4BDEF50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69C036A8"/>
    <w:multiLevelType w:val="hybridMultilevel"/>
    <w:tmpl w:val="F7BEEF26"/>
    <w:lvl w:ilvl="0" w:tplc="04020003">
      <w:start w:val="1"/>
      <w:numFmt w:val="bullet"/>
      <w:lvlText w:val="o"/>
      <w:lvlJc w:val="left"/>
      <w:pPr>
        <w:ind w:left="720" w:hanging="360"/>
      </w:pPr>
      <w:rPr>
        <w:rFonts w:ascii="Courier New"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F043115"/>
    <w:multiLevelType w:val="hybridMultilevel"/>
    <w:tmpl w:val="C1347D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F0D16A2"/>
    <w:multiLevelType w:val="hybridMultilevel"/>
    <w:tmpl w:val="1D4E8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C258E"/>
    <w:multiLevelType w:val="hybridMultilevel"/>
    <w:tmpl w:val="F850E090"/>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2" w15:restartNumberingAfterBreak="0">
    <w:nsid w:val="7D6B42ED"/>
    <w:multiLevelType w:val="hybridMultilevel"/>
    <w:tmpl w:val="9F06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1"/>
  </w:num>
  <w:num w:numId="5">
    <w:abstractNumId w:val="8"/>
  </w:num>
  <w:num w:numId="6">
    <w:abstractNumId w:val="6"/>
  </w:num>
  <w:num w:numId="7">
    <w:abstractNumId w:val="2"/>
  </w:num>
  <w:num w:numId="8">
    <w:abstractNumId w:val="7"/>
  </w:num>
  <w:num w:numId="9">
    <w:abstractNumId w:val="1"/>
  </w:num>
  <w:num w:numId="10">
    <w:abstractNumId w:val="9"/>
  </w:num>
  <w:num w:numId="11">
    <w:abstractNumId w:val="3"/>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fr-CH" w:vendorID="64" w:dllVersion="4096" w:nlCheck="1" w:checkStyle="0"/>
  <w:proofState w:grammar="clean"/>
  <w:attachedTemplate r:id="rId1"/>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0"/>
    <w:rsid w:val="00003F73"/>
    <w:rsid w:val="00010799"/>
    <w:rsid w:val="000159DA"/>
    <w:rsid w:val="00020D76"/>
    <w:rsid w:val="00036322"/>
    <w:rsid w:val="00040E5A"/>
    <w:rsid w:val="00065D3D"/>
    <w:rsid w:val="00072F20"/>
    <w:rsid w:val="00073647"/>
    <w:rsid w:val="00080749"/>
    <w:rsid w:val="00080C7E"/>
    <w:rsid w:val="00081F4A"/>
    <w:rsid w:val="00085DE1"/>
    <w:rsid w:val="000878DE"/>
    <w:rsid w:val="00087E7D"/>
    <w:rsid w:val="000A255E"/>
    <w:rsid w:val="000B2F84"/>
    <w:rsid w:val="000C5343"/>
    <w:rsid w:val="000C6BA1"/>
    <w:rsid w:val="000D0277"/>
    <w:rsid w:val="000D772A"/>
    <w:rsid w:val="00104432"/>
    <w:rsid w:val="00107021"/>
    <w:rsid w:val="00107038"/>
    <w:rsid w:val="00111AD2"/>
    <w:rsid w:val="00117A9C"/>
    <w:rsid w:val="001302BD"/>
    <w:rsid w:val="00135642"/>
    <w:rsid w:val="00156D10"/>
    <w:rsid w:val="00162458"/>
    <w:rsid w:val="00163FB4"/>
    <w:rsid w:val="0016464C"/>
    <w:rsid w:val="00173FDC"/>
    <w:rsid w:val="00182F65"/>
    <w:rsid w:val="001855E7"/>
    <w:rsid w:val="001952D5"/>
    <w:rsid w:val="001A26BF"/>
    <w:rsid w:val="001C379C"/>
    <w:rsid w:val="002007AF"/>
    <w:rsid w:val="00200BC2"/>
    <w:rsid w:val="0021058C"/>
    <w:rsid w:val="00224D4E"/>
    <w:rsid w:val="00226DAA"/>
    <w:rsid w:val="00244976"/>
    <w:rsid w:val="00251D55"/>
    <w:rsid w:val="002539B0"/>
    <w:rsid w:val="0026752B"/>
    <w:rsid w:val="002759A5"/>
    <w:rsid w:val="002824CF"/>
    <w:rsid w:val="002910A5"/>
    <w:rsid w:val="00291974"/>
    <w:rsid w:val="002A2CD8"/>
    <w:rsid w:val="002A4A1E"/>
    <w:rsid w:val="002B77B8"/>
    <w:rsid w:val="002C2DA4"/>
    <w:rsid w:val="002C78E5"/>
    <w:rsid w:val="002C7CE1"/>
    <w:rsid w:val="002E0EC2"/>
    <w:rsid w:val="002E6A0A"/>
    <w:rsid w:val="002F53FB"/>
    <w:rsid w:val="0031350B"/>
    <w:rsid w:val="00314EB0"/>
    <w:rsid w:val="00333C36"/>
    <w:rsid w:val="00334D2A"/>
    <w:rsid w:val="0033582A"/>
    <w:rsid w:val="00336DD6"/>
    <w:rsid w:val="00363AAC"/>
    <w:rsid w:val="003648C0"/>
    <w:rsid w:val="0036638A"/>
    <w:rsid w:val="003706BD"/>
    <w:rsid w:val="00374240"/>
    <w:rsid w:val="00380B73"/>
    <w:rsid w:val="00390B59"/>
    <w:rsid w:val="003A4499"/>
    <w:rsid w:val="003A70A7"/>
    <w:rsid w:val="003A7F74"/>
    <w:rsid w:val="003C2B08"/>
    <w:rsid w:val="003D273E"/>
    <w:rsid w:val="003D3C93"/>
    <w:rsid w:val="003D6C5A"/>
    <w:rsid w:val="003F1661"/>
    <w:rsid w:val="003F2A85"/>
    <w:rsid w:val="00402F27"/>
    <w:rsid w:val="00407A8C"/>
    <w:rsid w:val="00407B48"/>
    <w:rsid w:val="00414925"/>
    <w:rsid w:val="00435DF6"/>
    <w:rsid w:val="004431DF"/>
    <w:rsid w:val="004473DF"/>
    <w:rsid w:val="00450B01"/>
    <w:rsid w:val="00451790"/>
    <w:rsid w:val="00462A8E"/>
    <w:rsid w:val="00463977"/>
    <w:rsid w:val="00464D24"/>
    <w:rsid w:val="004728A4"/>
    <w:rsid w:val="00482023"/>
    <w:rsid w:val="00485FE0"/>
    <w:rsid w:val="00491F66"/>
    <w:rsid w:val="004A4969"/>
    <w:rsid w:val="004A6212"/>
    <w:rsid w:val="004B292D"/>
    <w:rsid w:val="004C22C2"/>
    <w:rsid w:val="004C33ED"/>
    <w:rsid w:val="004D7416"/>
    <w:rsid w:val="004E0420"/>
    <w:rsid w:val="004E2F70"/>
    <w:rsid w:val="004F08D3"/>
    <w:rsid w:val="004F0CDC"/>
    <w:rsid w:val="004F7547"/>
    <w:rsid w:val="00500021"/>
    <w:rsid w:val="00503E85"/>
    <w:rsid w:val="005174A6"/>
    <w:rsid w:val="00522C43"/>
    <w:rsid w:val="005247DE"/>
    <w:rsid w:val="0053308E"/>
    <w:rsid w:val="0054284C"/>
    <w:rsid w:val="00543656"/>
    <w:rsid w:val="00543D84"/>
    <w:rsid w:val="0055111B"/>
    <w:rsid w:val="00554636"/>
    <w:rsid w:val="00555BB9"/>
    <w:rsid w:val="00556D03"/>
    <w:rsid w:val="00571572"/>
    <w:rsid w:val="005A42D6"/>
    <w:rsid w:val="005B2435"/>
    <w:rsid w:val="005C44AD"/>
    <w:rsid w:val="005C5B13"/>
    <w:rsid w:val="005D1A75"/>
    <w:rsid w:val="005E5F20"/>
    <w:rsid w:val="005F123A"/>
    <w:rsid w:val="005F60E8"/>
    <w:rsid w:val="00610788"/>
    <w:rsid w:val="00633F2A"/>
    <w:rsid w:val="00643D64"/>
    <w:rsid w:val="00650269"/>
    <w:rsid w:val="00662AB8"/>
    <w:rsid w:val="00664842"/>
    <w:rsid w:val="00674221"/>
    <w:rsid w:val="00682278"/>
    <w:rsid w:val="006A1913"/>
    <w:rsid w:val="006B0F54"/>
    <w:rsid w:val="006B7EAC"/>
    <w:rsid w:val="006C0D07"/>
    <w:rsid w:val="006C118B"/>
    <w:rsid w:val="006C1502"/>
    <w:rsid w:val="006C3E1A"/>
    <w:rsid w:val="006C4436"/>
    <w:rsid w:val="006D19AC"/>
    <w:rsid w:val="006D3940"/>
    <w:rsid w:val="006D7073"/>
    <w:rsid w:val="006E5AA0"/>
    <w:rsid w:val="006E7555"/>
    <w:rsid w:val="007002B2"/>
    <w:rsid w:val="00701773"/>
    <w:rsid w:val="0070197E"/>
    <w:rsid w:val="00702706"/>
    <w:rsid w:val="007029E1"/>
    <w:rsid w:val="00702F5A"/>
    <w:rsid w:val="007055DF"/>
    <w:rsid w:val="007172DF"/>
    <w:rsid w:val="00731F0A"/>
    <w:rsid w:val="00732F18"/>
    <w:rsid w:val="007539A7"/>
    <w:rsid w:val="00756824"/>
    <w:rsid w:val="007569BD"/>
    <w:rsid w:val="00766824"/>
    <w:rsid w:val="007962E9"/>
    <w:rsid w:val="007A0D52"/>
    <w:rsid w:val="007A3335"/>
    <w:rsid w:val="007A357A"/>
    <w:rsid w:val="007A67AE"/>
    <w:rsid w:val="007C06D1"/>
    <w:rsid w:val="007D2679"/>
    <w:rsid w:val="007E3A96"/>
    <w:rsid w:val="007E5FA6"/>
    <w:rsid w:val="007E7DC0"/>
    <w:rsid w:val="00812227"/>
    <w:rsid w:val="008144A0"/>
    <w:rsid w:val="008226CC"/>
    <w:rsid w:val="0082270B"/>
    <w:rsid w:val="008342B9"/>
    <w:rsid w:val="0083669C"/>
    <w:rsid w:val="008456CE"/>
    <w:rsid w:val="00853316"/>
    <w:rsid w:val="00857539"/>
    <w:rsid w:val="00857F69"/>
    <w:rsid w:val="00860150"/>
    <w:rsid w:val="00871EA9"/>
    <w:rsid w:val="00873FEB"/>
    <w:rsid w:val="008775FC"/>
    <w:rsid w:val="00877838"/>
    <w:rsid w:val="00895936"/>
    <w:rsid w:val="00896FF3"/>
    <w:rsid w:val="00897985"/>
    <w:rsid w:val="008A4532"/>
    <w:rsid w:val="008C56FE"/>
    <w:rsid w:val="008C6A06"/>
    <w:rsid w:val="008C7582"/>
    <w:rsid w:val="008D02D2"/>
    <w:rsid w:val="008F33CD"/>
    <w:rsid w:val="00920EFB"/>
    <w:rsid w:val="0092503C"/>
    <w:rsid w:val="00931683"/>
    <w:rsid w:val="00936059"/>
    <w:rsid w:val="00937852"/>
    <w:rsid w:val="00941629"/>
    <w:rsid w:val="009509B6"/>
    <w:rsid w:val="00950B00"/>
    <w:rsid w:val="009553AD"/>
    <w:rsid w:val="00961DD4"/>
    <w:rsid w:val="009629F0"/>
    <w:rsid w:val="00964D65"/>
    <w:rsid w:val="00972932"/>
    <w:rsid w:val="00984339"/>
    <w:rsid w:val="00985CDA"/>
    <w:rsid w:val="00990C52"/>
    <w:rsid w:val="009945EF"/>
    <w:rsid w:val="009B1A4D"/>
    <w:rsid w:val="009B2B0A"/>
    <w:rsid w:val="009B5BE0"/>
    <w:rsid w:val="009F4AD6"/>
    <w:rsid w:val="00A02E15"/>
    <w:rsid w:val="00A136E8"/>
    <w:rsid w:val="00A14F12"/>
    <w:rsid w:val="00A16968"/>
    <w:rsid w:val="00A17848"/>
    <w:rsid w:val="00A4059C"/>
    <w:rsid w:val="00A437CE"/>
    <w:rsid w:val="00A5238E"/>
    <w:rsid w:val="00A66C51"/>
    <w:rsid w:val="00A70185"/>
    <w:rsid w:val="00A75940"/>
    <w:rsid w:val="00A8601C"/>
    <w:rsid w:val="00A93492"/>
    <w:rsid w:val="00AA6CDF"/>
    <w:rsid w:val="00AB7445"/>
    <w:rsid w:val="00AD18A1"/>
    <w:rsid w:val="00AD5463"/>
    <w:rsid w:val="00AD7F0F"/>
    <w:rsid w:val="00AF4D0E"/>
    <w:rsid w:val="00B07197"/>
    <w:rsid w:val="00B174E4"/>
    <w:rsid w:val="00B264A3"/>
    <w:rsid w:val="00B2748A"/>
    <w:rsid w:val="00B27B27"/>
    <w:rsid w:val="00B27D53"/>
    <w:rsid w:val="00B35876"/>
    <w:rsid w:val="00B3792A"/>
    <w:rsid w:val="00B5713E"/>
    <w:rsid w:val="00B57724"/>
    <w:rsid w:val="00B57B0F"/>
    <w:rsid w:val="00B626B9"/>
    <w:rsid w:val="00B6692C"/>
    <w:rsid w:val="00B80DC1"/>
    <w:rsid w:val="00B83BFA"/>
    <w:rsid w:val="00B8778F"/>
    <w:rsid w:val="00B9102C"/>
    <w:rsid w:val="00B91102"/>
    <w:rsid w:val="00B96548"/>
    <w:rsid w:val="00BA07FD"/>
    <w:rsid w:val="00BA3E6E"/>
    <w:rsid w:val="00BA778B"/>
    <w:rsid w:val="00BC4F8A"/>
    <w:rsid w:val="00BC72F7"/>
    <w:rsid w:val="00BE7A10"/>
    <w:rsid w:val="00BF0ED3"/>
    <w:rsid w:val="00BF288A"/>
    <w:rsid w:val="00BF2FC2"/>
    <w:rsid w:val="00C002C7"/>
    <w:rsid w:val="00C02B98"/>
    <w:rsid w:val="00C24E36"/>
    <w:rsid w:val="00C26C7C"/>
    <w:rsid w:val="00C3446E"/>
    <w:rsid w:val="00C47913"/>
    <w:rsid w:val="00C53B48"/>
    <w:rsid w:val="00C606FD"/>
    <w:rsid w:val="00C622D3"/>
    <w:rsid w:val="00C6512D"/>
    <w:rsid w:val="00C75AAF"/>
    <w:rsid w:val="00C81333"/>
    <w:rsid w:val="00C82408"/>
    <w:rsid w:val="00C82CA7"/>
    <w:rsid w:val="00C82F31"/>
    <w:rsid w:val="00C84E0A"/>
    <w:rsid w:val="00C86833"/>
    <w:rsid w:val="00C911C3"/>
    <w:rsid w:val="00C97405"/>
    <w:rsid w:val="00CB5EE3"/>
    <w:rsid w:val="00CD2272"/>
    <w:rsid w:val="00CD2A25"/>
    <w:rsid w:val="00CD52B5"/>
    <w:rsid w:val="00CD5AA9"/>
    <w:rsid w:val="00CE396D"/>
    <w:rsid w:val="00CF72A3"/>
    <w:rsid w:val="00D23BFA"/>
    <w:rsid w:val="00D35D9C"/>
    <w:rsid w:val="00D373A9"/>
    <w:rsid w:val="00D410EA"/>
    <w:rsid w:val="00D41D07"/>
    <w:rsid w:val="00D55CCC"/>
    <w:rsid w:val="00D64594"/>
    <w:rsid w:val="00D77AA5"/>
    <w:rsid w:val="00D82E55"/>
    <w:rsid w:val="00D830BD"/>
    <w:rsid w:val="00D95489"/>
    <w:rsid w:val="00DB0B3B"/>
    <w:rsid w:val="00DB3CBC"/>
    <w:rsid w:val="00DC5B9D"/>
    <w:rsid w:val="00DC74D9"/>
    <w:rsid w:val="00DD1CC6"/>
    <w:rsid w:val="00DD69B0"/>
    <w:rsid w:val="00E0713C"/>
    <w:rsid w:val="00E17EDE"/>
    <w:rsid w:val="00E24580"/>
    <w:rsid w:val="00E26FF1"/>
    <w:rsid w:val="00E33421"/>
    <w:rsid w:val="00E401C6"/>
    <w:rsid w:val="00E41CD1"/>
    <w:rsid w:val="00E45C2F"/>
    <w:rsid w:val="00E504F1"/>
    <w:rsid w:val="00E57E60"/>
    <w:rsid w:val="00E667FE"/>
    <w:rsid w:val="00E67E79"/>
    <w:rsid w:val="00E71D82"/>
    <w:rsid w:val="00E84D56"/>
    <w:rsid w:val="00E9236B"/>
    <w:rsid w:val="00E93215"/>
    <w:rsid w:val="00E975FA"/>
    <w:rsid w:val="00EA2435"/>
    <w:rsid w:val="00EA375A"/>
    <w:rsid w:val="00EA7ACF"/>
    <w:rsid w:val="00EB48AD"/>
    <w:rsid w:val="00ED284A"/>
    <w:rsid w:val="00EF1FB7"/>
    <w:rsid w:val="00F00527"/>
    <w:rsid w:val="00F0172A"/>
    <w:rsid w:val="00F1652D"/>
    <w:rsid w:val="00F1674F"/>
    <w:rsid w:val="00F2068F"/>
    <w:rsid w:val="00F21095"/>
    <w:rsid w:val="00F218DF"/>
    <w:rsid w:val="00F23FCC"/>
    <w:rsid w:val="00F34654"/>
    <w:rsid w:val="00F368BD"/>
    <w:rsid w:val="00F40A91"/>
    <w:rsid w:val="00F47A01"/>
    <w:rsid w:val="00F87900"/>
    <w:rsid w:val="00F9363E"/>
    <w:rsid w:val="00F95BAB"/>
    <w:rsid w:val="00F96FB6"/>
    <w:rsid w:val="00FA0CCE"/>
    <w:rsid w:val="00FA4CF4"/>
    <w:rsid w:val="00FB29D8"/>
    <w:rsid w:val="00FB51F1"/>
    <w:rsid w:val="00FD17BA"/>
    <w:rsid w:val="00FD2286"/>
    <w:rsid w:val="00FE0764"/>
    <w:rsid w:val="00FE61C9"/>
    <w:rsid w:val="00FF7EC7"/>
    <w:rsid w:val="1E0677A5"/>
    <w:rsid w:val="6B69356C"/>
    <w:rsid w:val="6E6BB5C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1DDF72"/>
  <w15:docId w15:val="{6371D7B3-3E5B-4DC8-BADF-BEF9507D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sr-Latn-CS" w:eastAsia="sr-Latn-C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9B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18DF"/>
    <w:pPr>
      <w:tabs>
        <w:tab w:val="center" w:pos="4320"/>
        <w:tab w:val="right" w:pos="8640"/>
      </w:tabs>
    </w:pPr>
  </w:style>
  <w:style w:type="character" w:customStyle="1" w:styleId="HeaderChar">
    <w:name w:val="Header Char"/>
    <w:link w:val="Header"/>
    <w:uiPriority w:val="99"/>
    <w:locked/>
    <w:rsid w:val="00F218DF"/>
    <w:rPr>
      <w:rFonts w:cs="Times New Roman"/>
    </w:rPr>
  </w:style>
  <w:style w:type="paragraph" w:styleId="Footer">
    <w:name w:val="footer"/>
    <w:basedOn w:val="Normal"/>
    <w:link w:val="FooterChar"/>
    <w:uiPriority w:val="99"/>
    <w:rsid w:val="00F218DF"/>
    <w:pPr>
      <w:tabs>
        <w:tab w:val="center" w:pos="4320"/>
        <w:tab w:val="right" w:pos="8640"/>
      </w:tabs>
    </w:pPr>
  </w:style>
  <w:style w:type="character" w:customStyle="1" w:styleId="FooterChar">
    <w:name w:val="Footer Char"/>
    <w:link w:val="Footer"/>
    <w:uiPriority w:val="99"/>
    <w:locked/>
    <w:rsid w:val="00F218DF"/>
    <w:rPr>
      <w:rFonts w:cs="Times New Roman"/>
    </w:rPr>
  </w:style>
  <w:style w:type="paragraph" w:styleId="BalloonText">
    <w:name w:val="Balloon Text"/>
    <w:basedOn w:val="Normal"/>
    <w:link w:val="BalloonTextChar"/>
    <w:semiHidden/>
    <w:rsid w:val="00732F18"/>
    <w:rPr>
      <w:rFonts w:ascii="Tahoma" w:hAnsi="Tahoma" w:cs="Tahoma"/>
      <w:sz w:val="16"/>
      <w:szCs w:val="16"/>
    </w:rPr>
  </w:style>
  <w:style w:type="character" w:customStyle="1" w:styleId="BalloonTextChar">
    <w:name w:val="Balloon Text Char"/>
    <w:link w:val="BalloonText"/>
    <w:semiHidden/>
    <w:locked/>
    <w:rsid w:val="00732F18"/>
    <w:rPr>
      <w:rFonts w:ascii="Tahoma" w:hAnsi="Tahoma" w:cs="Tahoma"/>
      <w:sz w:val="16"/>
      <w:szCs w:val="16"/>
    </w:rPr>
  </w:style>
  <w:style w:type="table" w:styleId="TableGrid">
    <w:name w:val="Table Grid"/>
    <w:basedOn w:val="TableNormal"/>
    <w:uiPriority w:val="39"/>
    <w:locked/>
    <w:rsid w:val="00822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anRe">
    <w:name w:val="Titan Re:"/>
    <w:basedOn w:val="Normal"/>
    <w:rsid w:val="004F7547"/>
    <w:pPr>
      <w:spacing w:before="120"/>
      <w:jc w:val="both"/>
    </w:pPr>
    <w:rPr>
      <w:rFonts w:ascii="Times New Roman" w:hAnsi="Times New Roman"/>
      <w:b/>
      <w:szCs w:val="20"/>
      <w:lang w:val="el-GR"/>
    </w:rPr>
  </w:style>
  <w:style w:type="paragraph" w:customStyle="1" w:styleId="TitanTable">
    <w:name w:val="Titan Table"/>
    <w:basedOn w:val="Normal"/>
    <w:rsid w:val="004F7547"/>
    <w:pPr>
      <w:jc w:val="both"/>
    </w:pPr>
    <w:rPr>
      <w:rFonts w:ascii="Times New Roman" w:hAnsi="Times New Roman"/>
      <w:bCs/>
      <w:lang w:val="el-GR"/>
    </w:rPr>
  </w:style>
  <w:style w:type="character" w:styleId="Hyperlink">
    <w:name w:val="Hyperlink"/>
    <w:basedOn w:val="DefaultParagraphFont"/>
    <w:uiPriority w:val="99"/>
    <w:unhideWhenUsed/>
    <w:rsid w:val="00DD69B0"/>
    <w:rPr>
      <w:color w:val="0000FF" w:themeColor="hyperlink"/>
      <w:u w:val="single"/>
    </w:rPr>
  </w:style>
  <w:style w:type="paragraph" w:styleId="ListParagraph">
    <w:name w:val="List Paragraph"/>
    <w:basedOn w:val="Normal"/>
    <w:qFormat/>
    <w:rsid w:val="005B2435"/>
    <w:pPr>
      <w:ind w:left="720"/>
      <w:contextualSpacing/>
    </w:pPr>
  </w:style>
  <w:style w:type="character" w:styleId="Strong">
    <w:name w:val="Strong"/>
    <w:basedOn w:val="DefaultParagraphFont"/>
    <w:uiPriority w:val="22"/>
    <w:qFormat/>
    <w:locked/>
    <w:rsid w:val="006D19AC"/>
    <w:rPr>
      <w:b/>
      <w:bCs/>
    </w:rPr>
  </w:style>
  <w:style w:type="character" w:styleId="FollowedHyperlink">
    <w:name w:val="FollowedHyperlink"/>
    <w:basedOn w:val="DefaultParagraphFont"/>
    <w:semiHidden/>
    <w:unhideWhenUsed/>
    <w:rsid w:val="003648C0"/>
    <w:rPr>
      <w:color w:val="800080" w:themeColor="followedHyperlink"/>
      <w:u w:val="single"/>
    </w:rPr>
  </w:style>
  <w:style w:type="paragraph" w:styleId="Date">
    <w:name w:val="Date"/>
    <w:basedOn w:val="Normal"/>
    <w:next w:val="Normal"/>
    <w:link w:val="DateChar"/>
    <w:uiPriority w:val="99"/>
    <w:unhideWhenUsed/>
    <w:rsid w:val="00543656"/>
    <w:pPr>
      <w:spacing w:line="208" w:lineRule="atLeast"/>
      <w:jc w:val="right"/>
    </w:pPr>
    <w:rPr>
      <w:rFonts w:asciiTheme="majorHAnsi" w:eastAsiaTheme="minorHAnsi" w:hAnsiTheme="majorHAnsi" w:cstheme="minorBidi"/>
      <w:sz w:val="16"/>
      <w:szCs w:val="22"/>
      <w:lang w:val="de-DE"/>
    </w:rPr>
  </w:style>
  <w:style w:type="character" w:customStyle="1" w:styleId="DateChar">
    <w:name w:val="Date Char"/>
    <w:basedOn w:val="DefaultParagraphFont"/>
    <w:link w:val="Date"/>
    <w:uiPriority w:val="99"/>
    <w:rsid w:val="00543656"/>
    <w:rPr>
      <w:rFonts w:asciiTheme="majorHAnsi" w:eastAsiaTheme="minorHAnsi" w:hAnsiTheme="majorHAnsi" w:cstheme="minorBidi"/>
      <w:sz w:val="16"/>
      <w:szCs w:val="22"/>
      <w:lang w:val="de-DE" w:eastAsia="en-US"/>
    </w:rPr>
  </w:style>
  <w:style w:type="character" w:styleId="UnresolvedMention">
    <w:name w:val="Unresolved Mention"/>
    <w:basedOn w:val="DefaultParagraphFont"/>
    <w:uiPriority w:val="99"/>
    <w:semiHidden/>
    <w:unhideWhenUsed/>
    <w:rsid w:val="00FD1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09503">
      <w:bodyDiv w:val="1"/>
      <w:marLeft w:val="0"/>
      <w:marRight w:val="0"/>
      <w:marTop w:val="0"/>
      <w:marBottom w:val="0"/>
      <w:divBdr>
        <w:top w:val="none" w:sz="0" w:space="0" w:color="auto"/>
        <w:left w:val="none" w:sz="0" w:space="0" w:color="auto"/>
        <w:bottom w:val="none" w:sz="0" w:space="0" w:color="auto"/>
        <w:right w:val="none" w:sz="0" w:space="0" w:color="auto"/>
      </w:divBdr>
    </w:div>
    <w:div w:id="852034365">
      <w:bodyDiv w:val="1"/>
      <w:marLeft w:val="0"/>
      <w:marRight w:val="0"/>
      <w:marTop w:val="0"/>
      <w:marBottom w:val="0"/>
      <w:divBdr>
        <w:top w:val="none" w:sz="0" w:space="0" w:color="auto"/>
        <w:left w:val="none" w:sz="0" w:space="0" w:color="auto"/>
        <w:bottom w:val="none" w:sz="0" w:space="0" w:color="auto"/>
        <w:right w:val="none" w:sz="0" w:space="0" w:color="auto"/>
      </w:divBdr>
    </w:div>
    <w:div w:id="1055399476">
      <w:bodyDiv w:val="1"/>
      <w:marLeft w:val="0"/>
      <w:marRight w:val="0"/>
      <w:marTop w:val="0"/>
      <w:marBottom w:val="0"/>
      <w:divBdr>
        <w:top w:val="none" w:sz="0" w:space="0" w:color="auto"/>
        <w:left w:val="none" w:sz="0" w:space="0" w:color="auto"/>
        <w:bottom w:val="none" w:sz="0" w:space="0" w:color="auto"/>
        <w:right w:val="none" w:sz="0" w:space="0" w:color="auto"/>
      </w:divBdr>
    </w:div>
    <w:div w:id="1175264974">
      <w:bodyDiv w:val="1"/>
      <w:marLeft w:val="0"/>
      <w:marRight w:val="0"/>
      <w:marTop w:val="0"/>
      <w:marBottom w:val="0"/>
      <w:divBdr>
        <w:top w:val="none" w:sz="0" w:space="0" w:color="auto"/>
        <w:left w:val="none" w:sz="0" w:space="0" w:color="auto"/>
        <w:bottom w:val="none" w:sz="0" w:space="0" w:color="auto"/>
        <w:right w:val="none" w:sz="0" w:space="0" w:color="auto"/>
      </w:divBdr>
    </w:div>
    <w:div w:id="1264411575">
      <w:bodyDiv w:val="1"/>
      <w:marLeft w:val="0"/>
      <w:marRight w:val="0"/>
      <w:marTop w:val="0"/>
      <w:marBottom w:val="0"/>
      <w:divBdr>
        <w:top w:val="none" w:sz="0" w:space="0" w:color="auto"/>
        <w:left w:val="none" w:sz="0" w:space="0" w:color="auto"/>
        <w:bottom w:val="none" w:sz="0" w:space="0" w:color="auto"/>
        <w:right w:val="none" w:sz="0" w:space="0" w:color="auto"/>
      </w:divBdr>
    </w:div>
    <w:div w:id="1465346756">
      <w:bodyDiv w:val="1"/>
      <w:marLeft w:val="0"/>
      <w:marRight w:val="0"/>
      <w:marTop w:val="0"/>
      <w:marBottom w:val="0"/>
      <w:divBdr>
        <w:top w:val="none" w:sz="0" w:space="0" w:color="auto"/>
        <w:left w:val="none" w:sz="0" w:space="0" w:color="auto"/>
        <w:bottom w:val="none" w:sz="0" w:space="0" w:color="auto"/>
        <w:right w:val="none" w:sz="0" w:space="0" w:color="auto"/>
      </w:divBdr>
    </w:div>
    <w:div w:id="17481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cholarships.helleniqenergy.gr/rn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scholarships.helleniqenergy.gr/rn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lleniqenergy.g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holarships.helleniqenergy.gr/rn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makris\Documents\EKO%20Bulgaria\EKO%20Official%20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f119e94-ccb6-4348-9ee8-4a9b4e5ab886" xsi:nil="true"/>
    <lcf76f155ced4ddcb4097134ff3c332f xmlns="56e2814d-fec0-4060-b0c6-39a539a46f3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D70D4274EE494A8B848F4758D81DDE" ma:contentTypeVersion="15" ma:contentTypeDescription="Create a new document." ma:contentTypeScope="" ma:versionID="17f26a5f6d37241db6cc5f64f6eb5f12">
  <xsd:schema xmlns:xsd="http://www.w3.org/2001/XMLSchema" xmlns:xs="http://www.w3.org/2001/XMLSchema" xmlns:p="http://schemas.microsoft.com/office/2006/metadata/properties" xmlns:ns2="56e2814d-fec0-4060-b0c6-39a539a46f3e" xmlns:ns3="bf119e94-ccb6-4348-9ee8-4a9b4e5ab886" targetNamespace="http://schemas.microsoft.com/office/2006/metadata/properties" ma:root="true" ma:fieldsID="0a36292491bac2d6ccf86bed4e48c1b8" ns2:_="" ns3:_="">
    <xsd:import namespace="56e2814d-fec0-4060-b0c6-39a539a46f3e"/>
    <xsd:import namespace="bf119e94-ccb6-4348-9ee8-4a9b4e5ab88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2814d-fec0-4060-b0c6-39a539a46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09be6c-d22e-4390-8715-21e824c6048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119e94-ccb6-4348-9ee8-4a9b4e5ab88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911218-f7f1-43d5-88ac-04b2a026ec9d}" ma:internalName="TaxCatchAll" ma:showField="CatchAllData" ma:web="bf119e94-ccb6-4348-9ee8-4a9b4e5ab88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7164D-4778-4B45-A149-7332975FEF7B}">
  <ds:schemaRefs>
    <ds:schemaRef ds:uri="http://schemas.microsoft.com/office/2006/metadata/longProperties"/>
  </ds:schemaRefs>
</ds:datastoreItem>
</file>

<file path=customXml/itemProps2.xml><?xml version="1.0" encoding="utf-8"?>
<ds:datastoreItem xmlns:ds="http://schemas.openxmlformats.org/officeDocument/2006/customXml" ds:itemID="{D9463B7C-CDFE-4B41-A28F-D62D92BA64A3}">
  <ds:schemaRefs>
    <ds:schemaRef ds:uri="http://schemas.microsoft.com/sharepoint/v3/contenttype/forms"/>
  </ds:schemaRefs>
</ds:datastoreItem>
</file>

<file path=customXml/itemProps3.xml><?xml version="1.0" encoding="utf-8"?>
<ds:datastoreItem xmlns:ds="http://schemas.openxmlformats.org/officeDocument/2006/customXml" ds:itemID="{C7066F73-24C2-45BC-81A1-7D7EE932B268}">
  <ds:schemaRefs>
    <ds:schemaRef ds:uri="http://purl.org/dc/terms/"/>
    <ds:schemaRef ds:uri="http://purl.org/dc/dcmitype/"/>
    <ds:schemaRef ds:uri="bf119e94-ccb6-4348-9ee8-4a9b4e5ab886"/>
    <ds:schemaRef ds:uri="56e2814d-fec0-4060-b0c6-39a539a46f3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6EC7B5-98D5-4A2E-A663-89C5F7B17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2814d-fec0-4060-b0c6-39a539a46f3e"/>
    <ds:schemaRef ds:uri="bf119e94-ccb6-4348-9ee8-4a9b4e5ab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87B82C-28D1-492D-96A6-B1360D7C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EKO Official Memo Template</Template>
  <TotalTime>5</TotalTime>
  <Pages>5</Pages>
  <Words>1619</Words>
  <Characters>9808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Makris Vassilis</dc:creator>
  <cp:keywords/>
  <dc:description/>
  <cp:lastModifiedBy>Cvetkovska Julija</cp:lastModifiedBy>
  <cp:revision>4</cp:revision>
  <cp:lastPrinted>2024-10-18T10:36:00Z</cp:lastPrinted>
  <dcterms:created xsi:type="dcterms:W3CDTF">2025-04-03T08:40:00Z</dcterms:created>
  <dcterms:modified xsi:type="dcterms:W3CDTF">2025-04-07T09:53:00Z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shasdmin</vt:lpwstr>
  </property>
  <property fmtid="{D5CDD505-2E9C-101B-9397-08002B2CF9AE}" pid="3" name="TemplateUrl">
    <vt:lpwstr/>
  </property>
  <property fmtid="{D5CDD505-2E9C-101B-9397-08002B2CF9AE}" pid="4" name="display_urn:schemas-microsoft-com:office:office#Author">
    <vt:lpwstr>shasdmin</vt:lpwstr>
  </property>
  <property fmtid="{D5CDD505-2E9C-101B-9397-08002B2CF9AE}" pid="5" name="xd_ProgID">
    <vt:lpwstr/>
  </property>
  <property fmtid="{D5CDD505-2E9C-101B-9397-08002B2CF9AE}" pid="6" name="GrammarlyDocumentId">
    <vt:lpwstr>60bd64859324b0ef0f4f19442d36fe8d4c2846662096ca4b495681e3e470bc81</vt:lpwstr>
  </property>
  <property fmtid="{D5CDD505-2E9C-101B-9397-08002B2CF9AE}" pid="7" name="ContentTypeId">
    <vt:lpwstr>0x0101002BD70D4274EE494A8B848F4758D81DDE</vt:lpwstr>
  </property>
  <property fmtid="{D5CDD505-2E9C-101B-9397-08002B2CF9AE}" pid="8" name="MediaServiceImageTags">
    <vt:lpwstr/>
  </property>
</Properties>
</file>